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D0FF" w14:textId="3C0C6056" w:rsidR="00F00411" w:rsidRPr="0092512F" w:rsidRDefault="002E451C" w:rsidP="009C0DC0">
      <w:pPr>
        <w:spacing w:after="0"/>
        <w:jc w:val="center"/>
        <w:rPr>
          <w:b/>
          <w:bCs/>
          <w:sz w:val="21"/>
          <w:szCs w:val="21"/>
          <w:u w:val="single"/>
        </w:rPr>
      </w:pPr>
      <w:r>
        <w:rPr>
          <w:b/>
          <w:bCs/>
          <w:sz w:val="21"/>
          <w:szCs w:val="21"/>
          <w:u w:val="single"/>
        </w:rPr>
        <w:t>C</w:t>
      </w:r>
      <w:r w:rsidR="00667B62" w:rsidRPr="0092512F">
        <w:rPr>
          <w:b/>
          <w:bCs/>
          <w:sz w:val="21"/>
          <w:szCs w:val="21"/>
          <w:u w:val="single"/>
        </w:rPr>
        <w:t>ataract service update for optometrists and GPs:</w:t>
      </w:r>
    </w:p>
    <w:p w14:paraId="07B2BADE" w14:textId="5C859A5A" w:rsidR="00667B62" w:rsidRPr="0092512F" w:rsidRDefault="00667B62" w:rsidP="000D57D9">
      <w:pPr>
        <w:spacing w:after="0"/>
        <w:jc w:val="center"/>
        <w:rPr>
          <w:b/>
          <w:bCs/>
          <w:sz w:val="21"/>
          <w:szCs w:val="21"/>
          <w:u w:val="single"/>
        </w:rPr>
      </w:pPr>
      <w:r w:rsidRPr="270DD16B">
        <w:rPr>
          <w:b/>
          <w:bCs/>
          <w:sz w:val="21"/>
          <w:szCs w:val="21"/>
          <w:u w:val="single"/>
        </w:rPr>
        <w:t>Information from NEL Ophthalmology Network</w:t>
      </w:r>
    </w:p>
    <w:p w14:paraId="035F2B7A" w14:textId="3A9EAE02" w:rsidR="65AFCBBE" w:rsidRDefault="002E451C" w:rsidP="270DD16B">
      <w:pPr>
        <w:spacing w:after="0"/>
        <w:rPr>
          <w:b/>
          <w:bCs/>
          <w:sz w:val="21"/>
          <w:szCs w:val="21"/>
          <w:u w:val="single"/>
        </w:rPr>
      </w:pPr>
      <w:r>
        <w:rPr>
          <w:b/>
          <w:bCs/>
          <w:sz w:val="21"/>
          <w:szCs w:val="21"/>
          <w:u w:val="single"/>
        </w:rPr>
        <w:t xml:space="preserve">Month: </w:t>
      </w:r>
      <w:r w:rsidR="00E36931">
        <w:rPr>
          <w:b/>
          <w:bCs/>
          <w:sz w:val="21"/>
          <w:szCs w:val="21"/>
          <w:u w:val="single"/>
        </w:rPr>
        <w:t>June 2025</w:t>
      </w:r>
    </w:p>
    <w:p w14:paraId="0B8CD03F" w14:textId="77777777" w:rsidR="000D57D9" w:rsidRPr="0092512F" w:rsidRDefault="000D57D9" w:rsidP="000D57D9">
      <w:pPr>
        <w:spacing w:after="0"/>
        <w:jc w:val="center"/>
        <w:rPr>
          <w:b/>
          <w:bCs/>
          <w:sz w:val="21"/>
          <w:szCs w:val="21"/>
          <w:u w:val="single"/>
        </w:rPr>
      </w:pPr>
    </w:p>
    <w:p w14:paraId="70E5593E" w14:textId="657B98D3" w:rsidR="000D57D9" w:rsidRPr="0092512F" w:rsidRDefault="000D57D9" w:rsidP="000D57D9">
      <w:pPr>
        <w:spacing w:after="0"/>
        <w:rPr>
          <w:sz w:val="21"/>
          <w:szCs w:val="21"/>
        </w:rPr>
      </w:pPr>
      <w:r w:rsidRPr="0092512F">
        <w:rPr>
          <w:sz w:val="21"/>
          <w:szCs w:val="21"/>
        </w:rPr>
        <w:t>Dear Colleagues</w:t>
      </w:r>
    </w:p>
    <w:p w14:paraId="6A4908B6" w14:textId="77777777" w:rsidR="009C0DC0" w:rsidRPr="0092512F" w:rsidRDefault="009C0DC0" w:rsidP="270DD16B">
      <w:pPr>
        <w:spacing w:after="0"/>
        <w:rPr>
          <w:sz w:val="16"/>
          <w:szCs w:val="16"/>
        </w:rPr>
      </w:pPr>
    </w:p>
    <w:p w14:paraId="6DD1AFF9" w14:textId="0202AE5A" w:rsidR="000D57D9" w:rsidRPr="0092512F" w:rsidRDefault="000D57D9" w:rsidP="000D57D9">
      <w:pPr>
        <w:spacing w:after="0"/>
        <w:rPr>
          <w:sz w:val="21"/>
          <w:szCs w:val="21"/>
        </w:rPr>
      </w:pPr>
      <w:r w:rsidRPr="0092512F">
        <w:rPr>
          <w:sz w:val="21"/>
          <w:szCs w:val="21"/>
        </w:rPr>
        <w:t xml:space="preserve">We are pleased to share with you the continued reduction in the waiting times for cataract procedures across the acute Trusts in </w:t>
      </w:r>
      <w:proofErr w:type="gramStart"/>
      <w:r w:rsidRPr="0092512F">
        <w:rPr>
          <w:sz w:val="21"/>
          <w:szCs w:val="21"/>
        </w:rPr>
        <w:t>North East</w:t>
      </w:r>
      <w:proofErr w:type="gramEnd"/>
      <w:r w:rsidRPr="0092512F">
        <w:rPr>
          <w:sz w:val="21"/>
          <w:szCs w:val="21"/>
        </w:rPr>
        <w:t xml:space="preserve"> London (NEL).</w:t>
      </w:r>
    </w:p>
    <w:p w14:paraId="3907E37C" w14:textId="77777777" w:rsidR="000D57D9" w:rsidRPr="0092512F" w:rsidRDefault="000D57D9" w:rsidP="270DD16B">
      <w:pPr>
        <w:spacing w:after="0"/>
        <w:rPr>
          <w:sz w:val="16"/>
          <w:szCs w:val="16"/>
        </w:rPr>
      </w:pPr>
    </w:p>
    <w:p w14:paraId="725DAF43" w14:textId="1D65C0A7" w:rsidR="000D57D9" w:rsidRPr="0092512F" w:rsidRDefault="000D57D9" w:rsidP="07938E02">
      <w:pPr>
        <w:spacing w:after="0"/>
        <w:rPr>
          <w:i/>
          <w:iCs/>
          <w:sz w:val="21"/>
          <w:szCs w:val="21"/>
        </w:rPr>
      </w:pPr>
      <w:r w:rsidRPr="07938E02">
        <w:rPr>
          <w:sz w:val="21"/>
          <w:szCs w:val="21"/>
        </w:rPr>
        <w:t xml:space="preserve">Local optometrists </w:t>
      </w:r>
      <w:r w:rsidR="69FD3FA3" w:rsidRPr="07938E02">
        <w:rPr>
          <w:sz w:val="21"/>
          <w:szCs w:val="21"/>
        </w:rPr>
        <w:t xml:space="preserve">should be aware that cataract surgery is </w:t>
      </w:r>
      <w:r w:rsidR="165DBB2E" w:rsidRPr="07938E02">
        <w:rPr>
          <w:sz w:val="21"/>
          <w:szCs w:val="21"/>
        </w:rPr>
        <w:t>not</w:t>
      </w:r>
      <w:r w:rsidR="69FD3FA3" w:rsidRPr="07938E02">
        <w:rPr>
          <w:sz w:val="21"/>
          <w:szCs w:val="21"/>
        </w:rPr>
        <w:t xml:space="preserve"> an urgent procedure and patients being seen and treated within 1</w:t>
      </w:r>
      <w:r w:rsidR="4FA00B4E" w:rsidRPr="07938E02">
        <w:rPr>
          <w:sz w:val="21"/>
          <w:szCs w:val="21"/>
        </w:rPr>
        <w:t>8 weeks is normal</w:t>
      </w:r>
      <w:r w:rsidRPr="07938E02">
        <w:rPr>
          <w:sz w:val="21"/>
          <w:szCs w:val="21"/>
        </w:rPr>
        <w:t xml:space="preserve"> </w:t>
      </w:r>
      <w:r w:rsidR="009C0DC0" w:rsidRPr="07938E02">
        <w:rPr>
          <w:i/>
          <w:iCs/>
          <w:sz w:val="21"/>
          <w:szCs w:val="21"/>
        </w:rPr>
        <w:t>(Please find at the end of the comms- cataract referral criteria for surgery)</w:t>
      </w:r>
    </w:p>
    <w:p w14:paraId="0DE5D380" w14:textId="77777777" w:rsidR="000D57D9" w:rsidRPr="0092512F" w:rsidRDefault="000D57D9" w:rsidP="000D57D9">
      <w:pPr>
        <w:spacing w:after="0"/>
        <w:rPr>
          <w:sz w:val="21"/>
          <w:szCs w:val="21"/>
        </w:rPr>
      </w:pPr>
    </w:p>
    <w:p w14:paraId="2F21D7CA" w14:textId="7782DB11" w:rsidR="005977A5" w:rsidRPr="0092512F" w:rsidRDefault="000D57D9" w:rsidP="005977A5">
      <w:pPr>
        <w:spacing w:after="0"/>
        <w:rPr>
          <w:sz w:val="21"/>
          <w:szCs w:val="21"/>
        </w:rPr>
      </w:pPr>
      <w:r w:rsidRPr="07938E02">
        <w:rPr>
          <w:sz w:val="21"/>
          <w:szCs w:val="21"/>
        </w:rPr>
        <w:t>Please note that</w:t>
      </w:r>
      <w:r w:rsidR="005977A5" w:rsidRPr="07938E02">
        <w:rPr>
          <w:sz w:val="21"/>
          <w:szCs w:val="21"/>
        </w:rPr>
        <w:t xml:space="preserve"> for </w:t>
      </w:r>
      <w:r w:rsidR="005977A5" w:rsidRPr="07938E02">
        <w:rPr>
          <w:b/>
          <w:bCs/>
          <w:sz w:val="21"/>
          <w:szCs w:val="21"/>
        </w:rPr>
        <w:t xml:space="preserve">Barking &amp; Dagenham, Redbridge and Havering; </w:t>
      </w:r>
      <w:r w:rsidR="005977A5" w:rsidRPr="07938E02">
        <w:rPr>
          <w:sz w:val="21"/>
          <w:szCs w:val="21"/>
        </w:rPr>
        <w:t xml:space="preserve">optometrists can refer directly to the Evolutio triage service where the patient will be offered choice of places to receive their treatment and an invite to book their appointment. </w:t>
      </w:r>
    </w:p>
    <w:p w14:paraId="44536926" w14:textId="77777777" w:rsidR="005977A5" w:rsidRPr="0092512F" w:rsidRDefault="005977A5" w:rsidP="270DD16B">
      <w:pPr>
        <w:spacing w:after="0"/>
        <w:rPr>
          <w:sz w:val="16"/>
          <w:szCs w:val="16"/>
        </w:rPr>
      </w:pPr>
    </w:p>
    <w:p w14:paraId="48485381" w14:textId="6C22384C" w:rsidR="005977A5" w:rsidRPr="0092512F" w:rsidRDefault="005977A5" w:rsidP="005977A5">
      <w:pPr>
        <w:spacing w:after="0"/>
        <w:rPr>
          <w:sz w:val="21"/>
          <w:szCs w:val="21"/>
        </w:rPr>
      </w:pPr>
      <w:r w:rsidRPr="0092512F">
        <w:rPr>
          <w:sz w:val="21"/>
          <w:szCs w:val="21"/>
        </w:rPr>
        <w:t>Referral guidance to use the</w:t>
      </w:r>
      <w:r w:rsidR="009C0DC0" w:rsidRPr="0092512F">
        <w:rPr>
          <w:sz w:val="21"/>
          <w:szCs w:val="21"/>
        </w:rPr>
        <w:t xml:space="preserve"> Evolutio</w:t>
      </w:r>
      <w:r w:rsidRPr="0092512F">
        <w:rPr>
          <w:sz w:val="21"/>
          <w:szCs w:val="21"/>
        </w:rPr>
        <w:t xml:space="preserve"> triage service can be found on the following link:  </w:t>
      </w:r>
      <w:hyperlink r:id="rId10" w:history="1">
        <w:r w:rsidRPr="0092512F">
          <w:rPr>
            <w:rStyle w:val="Hyperlink"/>
            <w:sz w:val="21"/>
            <w:szCs w:val="21"/>
          </w:rPr>
          <w:t>Refer to us - Evolutio Care Innovations (evolutio-ophthalmology.co.uk)</w:t>
        </w:r>
      </w:hyperlink>
      <w:r w:rsidRPr="0092512F">
        <w:rPr>
          <w:sz w:val="21"/>
          <w:szCs w:val="21"/>
        </w:rPr>
        <w:t xml:space="preserve">. This service is also available on </w:t>
      </w:r>
      <w:proofErr w:type="spellStart"/>
      <w:r w:rsidRPr="0092512F">
        <w:rPr>
          <w:sz w:val="21"/>
          <w:szCs w:val="21"/>
        </w:rPr>
        <w:t>eRS</w:t>
      </w:r>
      <w:proofErr w:type="spellEnd"/>
      <w:r w:rsidRPr="0092512F">
        <w:rPr>
          <w:sz w:val="21"/>
          <w:szCs w:val="21"/>
        </w:rPr>
        <w:t xml:space="preserve"> for GPs. </w:t>
      </w:r>
    </w:p>
    <w:p w14:paraId="1EBB73D3" w14:textId="77777777" w:rsidR="005977A5" w:rsidRPr="0092512F" w:rsidRDefault="005977A5" w:rsidP="270DD16B">
      <w:pPr>
        <w:spacing w:after="0"/>
        <w:rPr>
          <w:sz w:val="16"/>
          <w:szCs w:val="16"/>
        </w:rPr>
      </w:pPr>
    </w:p>
    <w:p w14:paraId="3832FA2B" w14:textId="70B19D29" w:rsidR="005977A5" w:rsidRDefault="005977A5" w:rsidP="005977A5">
      <w:pPr>
        <w:spacing w:after="0"/>
        <w:rPr>
          <w:sz w:val="21"/>
          <w:szCs w:val="21"/>
        </w:rPr>
      </w:pPr>
      <w:r w:rsidRPr="07938E02">
        <w:rPr>
          <w:sz w:val="21"/>
          <w:szCs w:val="21"/>
        </w:rPr>
        <w:t xml:space="preserve">The rest of the places across NEL- </w:t>
      </w:r>
      <w:r w:rsidRPr="07938E02">
        <w:rPr>
          <w:b/>
          <w:bCs/>
          <w:sz w:val="21"/>
          <w:szCs w:val="21"/>
        </w:rPr>
        <w:t>City &amp; Hackney, Newham, Tower Hamlets and Waltham Forest</w:t>
      </w:r>
      <w:r w:rsidRPr="07938E02">
        <w:rPr>
          <w:sz w:val="21"/>
          <w:szCs w:val="21"/>
        </w:rPr>
        <w:t xml:space="preserve"> </w:t>
      </w:r>
      <w:r w:rsidR="009C0DC0" w:rsidRPr="07938E02">
        <w:rPr>
          <w:sz w:val="21"/>
          <w:szCs w:val="21"/>
        </w:rPr>
        <w:t>also</w:t>
      </w:r>
      <w:r w:rsidRPr="07938E02">
        <w:rPr>
          <w:sz w:val="21"/>
          <w:szCs w:val="21"/>
        </w:rPr>
        <w:t xml:space="preserve"> have a single point of access hosted by Moorfields Hospital where community optometrists can send referrals directly to </w:t>
      </w:r>
      <w:hyperlink r:id="rId11">
        <w:r w:rsidRPr="07938E02">
          <w:rPr>
            <w:rStyle w:val="Hyperlink"/>
            <w:sz w:val="21"/>
            <w:szCs w:val="21"/>
          </w:rPr>
          <w:t>nelondonicb.eyerefer@nhs.net</w:t>
        </w:r>
      </w:hyperlink>
      <w:r w:rsidRPr="07938E02">
        <w:rPr>
          <w:sz w:val="21"/>
          <w:szCs w:val="21"/>
        </w:rPr>
        <w:t>, which routes the referral to the patient’s preferred hospital</w:t>
      </w:r>
      <w:r w:rsidR="009C0DC0" w:rsidRPr="07938E02">
        <w:rPr>
          <w:sz w:val="21"/>
          <w:szCs w:val="21"/>
        </w:rPr>
        <w:t xml:space="preserve"> under choice</w:t>
      </w:r>
      <w:r w:rsidRPr="07938E02">
        <w:rPr>
          <w:sz w:val="21"/>
          <w:szCs w:val="21"/>
        </w:rPr>
        <w:t xml:space="preserve"> for triage.</w:t>
      </w:r>
    </w:p>
    <w:p w14:paraId="4D8ABE79" w14:textId="77777777" w:rsidR="001A0F8B" w:rsidRDefault="001A0F8B" w:rsidP="005977A5">
      <w:pPr>
        <w:spacing w:after="0"/>
        <w:rPr>
          <w:sz w:val="21"/>
          <w:szCs w:val="21"/>
        </w:rPr>
      </w:pPr>
    </w:p>
    <w:p w14:paraId="37102ECD" w14:textId="36ABD2FB" w:rsidR="000D57D9" w:rsidRPr="0092512F" w:rsidRDefault="000D57D9" w:rsidP="000D57D9">
      <w:pPr>
        <w:spacing w:after="0"/>
        <w:rPr>
          <w:sz w:val="21"/>
          <w:szCs w:val="21"/>
        </w:rPr>
      </w:pPr>
      <w:r w:rsidRPr="270DD16B">
        <w:rPr>
          <w:sz w:val="21"/>
          <w:szCs w:val="21"/>
        </w:rPr>
        <w:t xml:space="preserve">The up to date waiting times for </w:t>
      </w:r>
      <w:r w:rsidR="5A7217A9" w:rsidRPr="270DD16B">
        <w:rPr>
          <w:sz w:val="21"/>
          <w:szCs w:val="21"/>
        </w:rPr>
        <w:t xml:space="preserve">routine </w:t>
      </w:r>
      <w:r w:rsidRPr="270DD16B">
        <w:rPr>
          <w:sz w:val="21"/>
          <w:szCs w:val="21"/>
        </w:rPr>
        <w:t xml:space="preserve">cataract surgery currently in NEL are listed in the table below and we will provide regular updates as waiting times continue to fall. </w:t>
      </w:r>
    </w:p>
    <w:p w14:paraId="5A5CC4F8" w14:textId="77777777" w:rsidR="009C0DC0" w:rsidRPr="0092512F" w:rsidRDefault="009C0DC0" w:rsidP="270DD16B">
      <w:pPr>
        <w:spacing w:after="0"/>
        <w:rPr>
          <w:sz w:val="16"/>
          <w:szCs w:val="16"/>
        </w:rPr>
      </w:pP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16"/>
        <w:gridCol w:w="1218"/>
        <w:gridCol w:w="2126"/>
        <w:gridCol w:w="1843"/>
        <w:gridCol w:w="1559"/>
      </w:tblGrid>
      <w:tr w:rsidR="7976FA3D" w:rsidRPr="0092512F" w14:paraId="05F65391" w14:textId="77777777" w:rsidTr="00E36931">
        <w:trPr>
          <w:trHeight w:val="285"/>
          <w:jc w:val="center"/>
        </w:trPr>
        <w:tc>
          <w:tcPr>
            <w:tcW w:w="9062" w:type="dxa"/>
            <w:gridSpan w:val="5"/>
            <w:shd w:val="clear" w:color="auto" w:fill="8DD873" w:themeFill="accent6" w:themeFillTint="99"/>
            <w:tcMar>
              <w:left w:w="108" w:type="dxa"/>
              <w:right w:w="108" w:type="dxa"/>
            </w:tcMar>
            <w:vAlign w:val="center"/>
          </w:tcPr>
          <w:p w14:paraId="1F4F7218" w14:textId="0BFF8C3E" w:rsidR="7976FA3D" w:rsidRPr="0092512F" w:rsidRDefault="7976FA3D" w:rsidP="7976FA3D">
            <w:pPr>
              <w:spacing w:after="0"/>
              <w:rPr>
                <w:sz w:val="21"/>
                <w:szCs w:val="21"/>
              </w:rPr>
            </w:pPr>
            <w:r w:rsidRPr="0092512F">
              <w:rPr>
                <w:rFonts w:ascii="Aptos" w:eastAsia="Aptos" w:hAnsi="Aptos" w:cs="Aptos"/>
                <w:b/>
                <w:bCs/>
                <w:color w:val="000000" w:themeColor="text1"/>
                <w:sz w:val="21"/>
                <w:szCs w:val="21"/>
                <w:u w:val="single"/>
              </w:rPr>
              <w:t xml:space="preserve">Cataract Waiting Time: </w:t>
            </w:r>
            <w:r w:rsidR="00C77386">
              <w:rPr>
                <w:rFonts w:ascii="Aptos" w:eastAsia="Aptos" w:hAnsi="Aptos" w:cs="Aptos"/>
                <w:b/>
                <w:bCs/>
                <w:color w:val="000000" w:themeColor="text1"/>
                <w:sz w:val="21"/>
                <w:szCs w:val="21"/>
                <w:u w:val="single"/>
              </w:rPr>
              <w:t xml:space="preserve">June </w:t>
            </w:r>
            <w:r w:rsidRPr="0092512F">
              <w:rPr>
                <w:rFonts w:ascii="Aptos" w:eastAsia="Aptos" w:hAnsi="Aptos" w:cs="Aptos"/>
                <w:b/>
                <w:bCs/>
                <w:color w:val="000000" w:themeColor="text1"/>
                <w:sz w:val="21"/>
                <w:szCs w:val="21"/>
                <w:u w:val="single"/>
              </w:rPr>
              <w:t>202</w:t>
            </w:r>
            <w:r w:rsidR="00C77386">
              <w:rPr>
                <w:rFonts w:ascii="Aptos" w:eastAsia="Aptos" w:hAnsi="Aptos" w:cs="Aptos"/>
                <w:b/>
                <w:bCs/>
                <w:color w:val="000000" w:themeColor="text1"/>
                <w:sz w:val="21"/>
                <w:szCs w:val="21"/>
                <w:u w:val="single"/>
              </w:rPr>
              <w:t>5</w:t>
            </w:r>
          </w:p>
        </w:tc>
      </w:tr>
      <w:tr w:rsidR="7976FA3D" w:rsidRPr="0092512F" w14:paraId="6C1F3367" w14:textId="77777777" w:rsidTr="00E36931">
        <w:trPr>
          <w:trHeight w:val="825"/>
          <w:jc w:val="center"/>
        </w:trPr>
        <w:tc>
          <w:tcPr>
            <w:tcW w:w="2316" w:type="dxa"/>
            <w:shd w:val="clear" w:color="auto" w:fill="D9F2D0" w:themeFill="accent6" w:themeFillTint="33"/>
            <w:tcMar>
              <w:left w:w="108" w:type="dxa"/>
              <w:right w:w="108" w:type="dxa"/>
            </w:tcMar>
            <w:vAlign w:val="center"/>
          </w:tcPr>
          <w:p w14:paraId="7255F7A6" w14:textId="034730D7" w:rsidR="7976FA3D" w:rsidRPr="0092512F" w:rsidRDefault="7976FA3D" w:rsidP="7976FA3D">
            <w:pPr>
              <w:spacing w:after="0"/>
              <w:rPr>
                <w:sz w:val="21"/>
                <w:szCs w:val="21"/>
              </w:rPr>
            </w:pPr>
            <w:r w:rsidRPr="0092512F">
              <w:rPr>
                <w:rFonts w:ascii="Aptos" w:eastAsia="Aptos" w:hAnsi="Aptos" w:cs="Aptos"/>
                <w:color w:val="000000" w:themeColor="text1"/>
                <w:sz w:val="21"/>
                <w:szCs w:val="21"/>
              </w:rPr>
              <w:t>Trust</w:t>
            </w:r>
          </w:p>
        </w:tc>
        <w:tc>
          <w:tcPr>
            <w:tcW w:w="1218" w:type="dxa"/>
            <w:shd w:val="clear" w:color="auto" w:fill="D9F2D0" w:themeFill="accent6" w:themeFillTint="33"/>
            <w:tcMar>
              <w:left w:w="108" w:type="dxa"/>
              <w:right w:w="108" w:type="dxa"/>
            </w:tcMar>
            <w:vAlign w:val="center"/>
          </w:tcPr>
          <w:p w14:paraId="5C4C594A" w14:textId="073F6A79" w:rsidR="7976FA3D" w:rsidRPr="0092512F" w:rsidRDefault="7976FA3D" w:rsidP="7976FA3D">
            <w:pPr>
              <w:spacing w:after="0"/>
              <w:rPr>
                <w:sz w:val="21"/>
                <w:szCs w:val="21"/>
              </w:rPr>
            </w:pPr>
            <w:r w:rsidRPr="0092512F">
              <w:rPr>
                <w:rFonts w:ascii="Aptos" w:eastAsia="Aptos" w:hAnsi="Aptos" w:cs="Aptos"/>
                <w:color w:val="000000" w:themeColor="text1"/>
                <w:sz w:val="21"/>
                <w:szCs w:val="21"/>
              </w:rPr>
              <w:t>Site</w:t>
            </w:r>
          </w:p>
        </w:tc>
        <w:tc>
          <w:tcPr>
            <w:tcW w:w="2126" w:type="dxa"/>
            <w:shd w:val="clear" w:color="auto" w:fill="D9F2D0" w:themeFill="accent6" w:themeFillTint="33"/>
            <w:tcMar>
              <w:left w:w="108" w:type="dxa"/>
              <w:right w:w="108" w:type="dxa"/>
            </w:tcMar>
            <w:vAlign w:val="center"/>
          </w:tcPr>
          <w:p w14:paraId="6F3C9C40" w14:textId="5BD3D0C3" w:rsidR="7976FA3D" w:rsidRPr="0092512F" w:rsidRDefault="7976FA3D" w:rsidP="7976FA3D">
            <w:pPr>
              <w:spacing w:after="0"/>
              <w:rPr>
                <w:sz w:val="21"/>
                <w:szCs w:val="21"/>
              </w:rPr>
            </w:pPr>
            <w:r w:rsidRPr="0092512F">
              <w:rPr>
                <w:rFonts w:ascii="Aptos" w:eastAsia="Aptos" w:hAnsi="Aptos" w:cs="Aptos"/>
                <w:color w:val="000000" w:themeColor="text1"/>
                <w:sz w:val="21"/>
                <w:szCs w:val="21"/>
              </w:rPr>
              <w:t>Referral to 1st O</w:t>
            </w:r>
            <w:r w:rsidR="00E36931">
              <w:rPr>
                <w:rFonts w:ascii="Aptos" w:eastAsia="Aptos" w:hAnsi="Aptos" w:cs="Aptos"/>
                <w:color w:val="000000" w:themeColor="text1"/>
                <w:sz w:val="21"/>
                <w:szCs w:val="21"/>
              </w:rPr>
              <w:t>utpatient appointment</w:t>
            </w:r>
            <w:r w:rsidRPr="0092512F">
              <w:rPr>
                <w:rFonts w:ascii="Aptos" w:eastAsia="Aptos" w:hAnsi="Aptos" w:cs="Aptos"/>
                <w:color w:val="000000" w:themeColor="text1"/>
                <w:sz w:val="21"/>
                <w:szCs w:val="21"/>
              </w:rPr>
              <w:t xml:space="preserve"> (weeks)</w:t>
            </w:r>
          </w:p>
        </w:tc>
        <w:tc>
          <w:tcPr>
            <w:tcW w:w="1843" w:type="dxa"/>
            <w:shd w:val="clear" w:color="auto" w:fill="D9F2D0" w:themeFill="accent6" w:themeFillTint="33"/>
            <w:tcMar>
              <w:left w:w="108" w:type="dxa"/>
              <w:right w:w="108" w:type="dxa"/>
            </w:tcMar>
            <w:vAlign w:val="center"/>
          </w:tcPr>
          <w:p w14:paraId="29AB1C41" w14:textId="79E28192" w:rsidR="7976FA3D" w:rsidRPr="0092512F" w:rsidRDefault="7976FA3D" w:rsidP="7976FA3D">
            <w:pPr>
              <w:spacing w:after="0"/>
              <w:rPr>
                <w:sz w:val="21"/>
                <w:szCs w:val="21"/>
              </w:rPr>
            </w:pPr>
            <w:r w:rsidRPr="0092512F">
              <w:rPr>
                <w:rFonts w:ascii="Aptos" w:eastAsia="Aptos" w:hAnsi="Aptos" w:cs="Aptos"/>
                <w:color w:val="000000" w:themeColor="text1"/>
                <w:sz w:val="21"/>
                <w:szCs w:val="21"/>
              </w:rPr>
              <w:t>OPA to Surgery (weeks)</w:t>
            </w:r>
          </w:p>
        </w:tc>
        <w:tc>
          <w:tcPr>
            <w:tcW w:w="1559" w:type="dxa"/>
            <w:shd w:val="clear" w:color="auto" w:fill="D9F2D0" w:themeFill="accent6" w:themeFillTint="33"/>
            <w:tcMar>
              <w:left w:w="108" w:type="dxa"/>
              <w:right w:w="108" w:type="dxa"/>
            </w:tcMar>
            <w:vAlign w:val="center"/>
          </w:tcPr>
          <w:p w14:paraId="16963138" w14:textId="2C5BE724" w:rsidR="7976FA3D" w:rsidRPr="0092512F" w:rsidRDefault="7976FA3D" w:rsidP="7976FA3D">
            <w:pPr>
              <w:spacing w:after="0"/>
              <w:rPr>
                <w:sz w:val="21"/>
                <w:szCs w:val="21"/>
              </w:rPr>
            </w:pPr>
            <w:r w:rsidRPr="0092512F">
              <w:rPr>
                <w:rFonts w:ascii="Aptos" w:eastAsia="Aptos" w:hAnsi="Aptos" w:cs="Aptos"/>
                <w:color w:val="000000" w:themeColor="text1"/>
                <w:sz w:val="21"/>
                <w:szCs w:val="21"/>
              </w:rPr>
              <w:t>Referral to surgery total (weeks)</w:t>
            </w:r>
          </w:p>
        </w:tc>
      </w:tr>
      <w:tr w:rsidR="7976FA3D" w:rsidRPr="0092512F" w14:paraId="1FC84CED" w14:textId="77777777" w:rsidTr="00E36931">
        <w:trPr>
          <w:trHeight w:val="285"/>
          <w:jc w:val="center"/>
        </w:trPr>
        <w:tc>
          <w:tcPr>
            <w:tcW w:w="2316" w:type="dxa"/>
            <w:tcMar>
              <w:left w:w="108" w:type="dxa"/>
              <w:right w:w="108" w:type="dxa"/>
            </w:tcMar>
            <w:vAlign w:val="center"/>
          </w:tcPr>
          <w:p w14:paraId="0E758DE2" w14:textId="5CD32ECF" w:rsidR="7976FA3D" w:rsidRPr="0092512F" w:rsidRDefault="7976FA3D" w:rsidP="7976FA3D">
            <w:pPr>
              <w:spacing w:after="0"/>
              <w:rPr>
                <w:sz w:val="21"/>
                <w:szCs w:val="21"/>
              </w:rPr>
            </w:pPr>
            <w:r w:rsidRPr="0092512F">
              <w:rPr>
                <w:rFonts w:ascii="Aptos" w:eastAsia="Aptos" w:hAnsi="Aptos" w:cs="Aptos"/>
                <w:color w:val="000000" w:themeColor="text1"/>
                <w:sz w:val="21"/>
                <w:szCs w:val="21"/>
              </w:rPr>
              <w:t>Moorfields</w:t>
            </w:r>
          </w:p>
        </w:tc>
        <w:tc>
          <w:tcPr>
            <w:tcW w:w="1218" w:type="dxa"/>
            <w:tcMar>
              <w:left w:w="108" w:type="dxa"/>
              <w:right w:w="108" w:type="dxa"/>
            </w:tcMar>
            <w:vAlign w:val="center"/>
          </w:tcPr>
          <w:p w14:paraId="1EFCB51E" w14:textId="00B8BA44" w:rsidR="7976FA3D" w:rsidRPr="0092512F" w:rsidRDefault="7976FA3D" w:rsidP="7976FA3D">
            <w:pPr>
              <w:spacing w:after="0"/>
              <w:rPr>
                <w:sz w:val="21"/>
                <w:szCs w:val="21"/>
              </w:rPr>
            </w:pPr>
            <w:r w:rsidRPr="0092512F">
              <w:rPr>
                <w:rFonts w:ascii="Aptos" w:eastAsia="Aptos" w:hAnsi="Aptos" w:cs="Aptos"/>
                <w:color w:val="000000" w:themeColor="text1"/>
                <w:sz w:val="21"/>
                <w:szCs w:val="21"/>
              </w:rPr>
              <w:t>St Anns</w:t>
            </w:r>
          </w:p>
        </w:tc>
        <w:tc>
          <w:tcPr>
            <w:tcW w:w="2126" w:type="dxa"/>
            <w:tcMar>
              <w:left w:w="108" w:type="dxa"/>
              <w:right w:w="108" w:type="dxa"/>
            </w:tcMar>
            <w:vAlign w:val="center"/>
          </w:tcPr>
          <w:p w14:paraId="0CE11B03" w14:textId="0FEC4127" w:rsidR="7976FA3D" w:rsidRPr="0092512F" w:rsidRDefault="00C77386" w:rsidP="7976FA3D">
            <w:pPr>
              <w:spacing w:after="0"/>
              <w:rPr>
                <w:sz w:val="21"/>
                <w:szCs w:val="21"/>
              </w:rPr>
            </w:pPr>
            <w:r>
              <w:rPr>
                <w:rFonts w:ascii="Aptos" w:eastAsia="Aptos" w:hAnsi="Aptos" w:cs="Aptos"/>
                <w:color w:val="000000" w:themeColor="text1"/>
                <w:sz w:val="21"/>
                <w:szCs w:val="21"/>
              </w:rPr>
              <w:t>1</w:t>
            </w:r>
            <w:r w:rsidR="7976FA3D" w:rsidRPr="0092512F">
              <w:rPr>
                <w:rFonts w:ascii="Aptos" w:eastAsia="Aptos" w:hAnsi="Aptos" w:cs="Aptos"/>
                <w:color w:val="000000" w:themeColor="text1"/>
                <w:sz w:val="21"/>
                <w:szCs w:val="21"/>
              </w:rPr>
              <w:t xml:space="preserve"> weeks</w:t>
            </w:r>
          </w:p>
        </w:tc>
        <w:tc>
          <w:tcPr>
            <w:tcW w:w="1843" w:type="dxa"/>
            <w:tcMar>
              <w:left w:w="108" w:type="dxa"/>
              <w:right w:w="108" w:type="dxa"/>
            </w:tcMar>
            <w:vAlign w:val="center"/>
          </w:tcPr>
          <w:p w14:paraId="1CE028E2" w14:textId="1DCF0A4E" w:rsidR="7976FA3D" w:rsidRPr="0092512F" w:rsidRDefault="00C77386" w:rsidP="7976FA3D">
            <w:pPr>
              <w:spacing w:after="0"/>
              <w:rPr>
                <w:sz w:val="21"/>
                <w:szCs w:val="21"/>
              </w:rPr>
            </w:pPr>
            <w:r>
              <w:rPr>
                <w:rFonts w:ascii="Aptos" w:eastAsia="Aptos" w:hAnsi="Aptos" w:cs="Aptos"/>
                <w:color w:val="000000" w:themeColor="text1"/>
                <w:sz w:val="21"/>
                <w:szCs w:val="21"/>
              </w:rPr>
              <w:t>1</w:t>
            </w:r>
            <w:r w:rsidR="7976FA3D" w:rsidRPr="0092512F">
              <w:rPr>
                <w:rFonts w:ascii="Aptos" w:eastAsia="Aptos" w:hAnsi="Aptos" w:cs="Aptos"/>
                <w:color w:val="000000" w:themeColor="text1"/>
                <w:sz w:val="21"/>
                <w:szCs w:val="21"/>
              </w:rPr>
              <w:t xml:space="preserve"> weeks</w:t>
            </w:r>
          </w:p>
        </w:tc>
        <w:tc>
          <w:tcPr>
            <w:tcW w:w="1559" w:type="dxa"/>
            <w:tcMar>
              <w:left w:w="108" w:type="dxa"/>
              <w:right w:w="108" w:type="dxa"/>
            </w:tcMar>
            <w:vAlign w:val="center"/>
          </w:tcPr>
          <w:p w14:paraId="1C010379" w14:textId="4B263D2A" w:rsidR="7976FA3D" w:rsidRPr="0092512F" w:rsidRDefault="00C77386" w:rsidP="7976FA3D">
            <w:pPr>
              <w:spacing w:after="0"/>
              <w:rPr>
                <w:sz w:val="21"/>
                <w:szCs w:val="21"/>
              </w:rPr>
            </w:pPr>
            <w:r>
              <w:rPr>
                <w:rFonts w:ascii="Aptos" w:eastAsia="Aptos" w:hAnsi="Aptos" w:cs="Aptos"/>
                <w:color w:val="000000" w:themeColor="text1"/>
                <w:sz w:val="21"/>
                <w:szCs w:val="21"/>
              </w:rPr>
              <w:t>2</w:t>
            </w:r>
            <w:r w:rsidR="7976FA3D" w:rsidRPr="0092512F">
              <w:rPr>
                <w:rFonts w:ascii="Aptos" w:eastAsia="Aptos" w:hAnsi="Aptos" w:cs="Aptos"/>
                <w:color w:val="000000" w:themeColor="text1"/>
                <w:sz w:val="21"/>
                <w:szCs w:val="21"/>
              </w:rPr>
              <w:t xml:space="preserve"> weeks</w:t>
            </w:r>
          </w:p>
        </w:tc>
      </w:tr>
      <w:tr w:rsidR="7976FA3D" w:rsidRPr="0092512F" w14:paraId="115AC9C5" w14:textId="77777777" w:rsidTr="00E36931">
        <w:trPr>
          <w:trHeight w:val="285"/>
          <w:jc w:val="center"/>
        </w:trPr>
        <w:tc>
          <w:tcPr>
            <w:tcW w:w="2316" w:type="dxa"/>
            <w:tcMar>
              <w:left w:w="108" w:type="dxa"/>
              <w:right w:w="108" w:type="dxa"/>
            </w:tcMar>
            <w:vAlign w:val="center"/>
          </w:tcPr>
          <w:p w14:paraId="32BF9EE5" w14:textId="3EB7C422" w:rsidR="7976FA3D" w:rsidRPr="0092512F" w:rsidRDefault="7976FA3D" w:rsidP="7976FA3D">
            <w:pPr>
              <w:spacing w:after="0"/>
              <w:rPr>
                <w:sz w:val="21"/>
                <w:szCs w:val="21"/>
              </w:rPr>
            </w:pPr>
            <w:r w:rsidRPr="0092512F">
              <w:rPr>
                <w:rFonts w:ascii="Aptos" w:eastAsia="Aptos" w:hAnsi="Aptos" w:cs="Aptos"/>
                <w:color w:val="000000" w:themeColor="text1"/>
                <w:sz w:val="21"/>
                <w:szCs w:val="21"/>
              </w:rPr>
              <w:t xml:space="preserve"> </w:t>
            </w:r>
          </w:p>
        </w:tc>
        <w:tc>
          <w:tcPr>
            <w:tcW w:w="1218" w:type="dxa"/>
            <w:tcMar>
              <w:left w:w="108" w:type="dxa"/>
              <w:right w:w="108" w:type="dxa"/>
            </w:tcMar>
            <w:vAlign w:val="center"/>
          </w:tcPr>
          <w:p w14:paraId="7CCB19B4" w14:textId="06C30EDE" w:rsidR="7976FA3D" w:rsidRPr="0092512F" w:rsidRDefault="7976FA3D" w:rsidP="7976FA3D">
            <w:pPr>
              <w:spacing w:after="0"/>
              <w:rPr>
                <w:sz w:val="21"/>
                <w:szCs w:val="21"/>
              </w:rPr>
            </w:pPr>
            <w:r w:rsidRPr="0092512F">
              <w:rPr>
                <w:rFonts w:ascii="Aptos" w:eastAsia="Aptos" w:hAnsi="Aptos" w:cs="Aptos"/>
                <w:color w:val="000000" w:themeColor="text1"/>
                <w:sz w:val="21"/>
                <w:szCs w:val="21"/>
              </w:rPr>
              <w:t>Stratford</w:t>
            </w:r>
          </w:p>
        </w:tc>
        <w:tc>
          <w:tcPr>
            <w:tcW w:w="2126" w:type="dxa"/>
            <w:tcMar>
              <w:left w:w="108" w:type="dxa"/>
              <w:right w:w="108" w:type="dxa"/>
            </w:tcMar>
            <w:vAlign w:val="center"/>
          </w:tcPr>
          <w:p w14:paraId="44F7A7C1" w14:textId="60DA6399" w:rsidR="7976FA3D" w:rsidRPr="0092512F" w:rsidRDefault="00C77386" w:rsidP="7976FA3D">
            <w:pPr>
              <w:spacing w:after="0"/>
              <w:rPr>
                <w:sz w:val="21"/>
                <w:szCs w:val="21"/>
              </w:rPr>
            </w:pPr>
            <w:r>
              <w:rPr>
                <w:rFonts w:ascii="Aptos" w:eastAsia="Aptos" w:hAnsi="Aptos" w:cs="Aptos"/>
                <w:color w:val="000000" w:themeColor="text1"/>
                <w:sz w:val="21"/>
                <w:szCs w:val="21"/>
              </w:rPr>
              <w:t>3</w:t>
            </w:r>
            <w:r w:rsidR="7976FA3D" w:rsidRPr="0092512F">
              <w:rPr>
                <w:rFonts w:ascii="Aptos" w:eastAsia="Aptos" w:hAnsi="Aptos" w:cs="Aptos"/>
                <w:color w:val="000000" w:themeColor="text1"/>
                <w:sz w:val="21"/>
                <w:szCs w:val="21"/>
              </w:rPr>
              <w:t xml:space="preserve"> weeks</w:t>
            </w:r>
          </w:p>
        </w:tc>
        <w:tc>
          <w:tcPr>
            <w:tcW w:w="1843" w:type="dxa"/>
            <w:tcMar>
              <w:left w:w="108" w:type="dxa"/>
              <w:right w:w="108" w:type="dxa"/>
            </w:tcMar>
            <w:vAlign w:val="center"/>
          </w:tcPr>
          <w:p w14:paraId="34BA25A7" w14:textId="6B9976DE" w:rsidR="7976FA3D" w:rsidRPr="0092512F" w:rsidRDefault="00C77386" w:rsidP="7976FA3D">
            <w:pPr>
              <w:spacing w:after="0"/>
              <w:rPr>
                <w:sz w:val="21"/>
                <w:szCs w:val="21"/>
              </w:rPr>
            </w:pPr>
            <w:r>
              <w:rPr>
                <w:rFonts w:ascii="Aptos" w:eastAsia="Aptos" w:hAnsi="Aptos" w:cs="Aptos"/>
                <w:color w:val="000000" w:themeColor="text1"/>
                <w:sz w:val="21"/>
                <w:szCs w:val="21"/>
              </w:rPr>
              <w:t>4</w:t>
            </w:r>
            <w:r w:rsidR="7976FA3D" w:rsidRPr="0092512F">
              <w:rPr>
                <w:rFonts w:ascii="Aptos" w:eastAsia="Aptos" w:hAnsi="Aptos" w:cs="Aptos"/>
                <w:color w:val="000000" w:themeColor="text1"/>
                <w:sz w:val="21"/>
                <w:szCs w:val="21"/>
              </w:rPr>
              <w:t xml:space="preserve"> weeks</w:t>
            </w:r>
          </w:p>
        </w:tc>
        <w:tc>
          <w:tcPr>
            <w:tcW w:w="1559" w:type="dxa"/>
            <w:tcMar>
              <w:left w:w="108" w:type="dxa"/>
              <w:right w:w="108" w:type="dxa"/>
            </w:tcMar>
            <w:vAlign w:val="center"/>
          </w:tcPr>
          <w:p w14:paraId="43C279A2" w14:textId="28C72CEE" w:rsidR="7976FA3D" w:rsidRPr="0092512F" w:rsidRDefault="00C77386" w:rsidP="7976FA3D">
            <w:pPr>
              <w:spacing w:after="0"/>
              <w:rPr>
                <w:sz w:val="21"/>
                <w:szCs w:val="21"/>
              </w:rPr>
            </w:pPr>
            <w:r>
              <w:rPr>
                <w:rFonts w:ascii="Aptos" w:eastAsia="Aptos" w:hAnsi="Aptos" w:cs="Aptos"/>
                <w:color w:val="000000" w:themeColor="text1"/>
                <w:sz w:val="21"/>
                <w:szCs w:val="21"/>
              </w:rPr>
              <w:t>7</w:t>
            </w:r>
            <w:r w:rsidR="7976FA3D" w:rsidRPr="0092512F">
              <w:rPr>
                <w:rFonts w:ascii="Aptos" w:eastAsia="Aptos" w:hAnsi="Aptos" w:cs="Aptos"/>
                <w:color w:val="000000" w:themeColor="text1"/>
                <w:sz w:val="21"/>
                <w:szCs w:val="21"/>
              </w:rPr>
              <w:t xml:space="preserve"> weeks</w:t>
            </w:r>
          </w:p>
        </w:tc>
      </w:tr>
      <w:tr w:rsidR="7976FA3D" w:rsidRPr="0092512F" w14:paraId="0264351A" w14:textId="77777777" w:rsidTr="00E36931">
        <w:trPr>
          <w:trHeight w:val="555"/>
          <w:jc w:val="center"/>
        </w:trPr>
        <w:tc>
          <w:tcPr>
            <w:tcW w:w="2316" w:type="dxa"/>
            <w:tcMar>
              <w:left w:w="108" w:type="dxa"/>
              <w:right w:w="108" w:type="dxa"/>
            </w:tcMar>
            <w:vAlign w:val="center"/>
          </w:tcPr>
          <w:p w14:paraId="7FA9744A" w14:textId="21B4D326" w:rsidR="7976FA3D" w:rsidRPr="0092512F" w:rsidRDefault="7976FA3D" w:rsidP="7976FA3D">
            <w:pPr>
              <w:spacing w:after="0"/>
              <w:rPr>
                <w:sz w:val="21"/>
                <w:szCs w:val="21"/>
              </w:rPr>
            </w:pPr>
            <w:r w:rsidRPr="0092512F">
              <w:rPr>
                <w:rFonts w:ascii="Aptos" w:eastAsia="Aptos" w:hAnsi="Aptos" w:cs="Aptos"/>
                <w:color w:val="000000" w:themeColor="text1"/>
                <w:sz w:val="21"/>
                <w:szCs w:val="21"/>
              </w:rPr>
              <w:t>Barts Health</w:t>
            </w:r>
          </w:p>
        </w:tc>
        <w:tc>
          <w:tcPr>
            <w:tcW w:w="1218" w:type="dxa"/>
            <w:tcMar>
              <w:left w:w="108" w:type="dxa"/>
              <w:right w:w="108" w:type="dxa"/>
            </w:tcMar>
            <w:vAlign w:val="center"/>
          </w:tcPr>
          <w:p w14:paraId="4325D076" w14:textId="47D9ED91" w:rsidR="7976FA3D" w:rsidRPr="0092512F" w:rsidRDefault="7976FA3D" w:rsidP="7976FA3D">
            <w:pPr>
              <w:spacing w:after="0"/>
              <w:rPr>
                <w:sz w:val="21"/>
                <w:szCs w:val="21"/>
              </w:rPr>
            </w:pPr>
            <w:r w:rsidRPr="0092512F">
              <w:rPr>
                <w:rFonts w:ascii="Aptos" w:eastAsia="Aptos" w:hAnsi="Aptos" w:cs="Aptos"/>
                <w:color w:val="000000" w:themeColor="text1"/>
                <w:sz w:val="21"/>
                <w:szCs w:val="21"/>
              </w:rPr>
              <w:t>Whipps Cross</w:t>
            </w:r>
          </w:p>
        </w:tc>
        <w:tc>
          <w:tcPr>
            <w:tcW w:w="2126" w:type="dxa"/>
            <w:tcMar>
              <w:left w:w="108" w:type="dxa"/>
              <w:right w:w="108" w:type="dxa"/>
            </w:tcMar>
            <w:vAlign w:val="center"/>
          </w:tcPr>
          <w:p w14:paraId="0278C08F" w14:textId="625440F7" w:rsidR="7976FA3D" w:rsidRPr="0092512F" w:rsidRDefault="00C77386" w:rsidP="7976FA3D">
            <w:pPr>
              <w:spacing w:after="0"/>
              <w:rPr>
                <w:sz w:val="21"/>
                <w:szCs w:val="21"/>
              </w:rPr>
            </w:pPr>
            <w:r>
              <w:rPr>
                <w:rFonts w:ascii="Aptos" w:eastAsia="Aptos" w:hAnsi="Aptos" w:cs="Aptos"/>
                <w:color w:val="000000" w:themeColor="text1"/>
                <w:sz w:val="21"/>
                <w:szCs w:val="21"/>
              </w:rPr>
              <w:t>4</w:t>
            </w:r>
            <w:r w:rsidR="7976FA3D" w:rsidRPr="0092512F">
              <w:rPr>
                <w:rFonts w:ascii="Aptos" w:eastAsia="Aptos" w:hAnsi="Aptos" w:cs="Aptos"/>
                <w:color w:val="000000" w:themeColor="text1"/>
                <w:sz w:val="21"/>
                <w:szCs w:val="21"/>
              </w:rPr>
              <w:t xml:space="preserve"> weeks</w:t>
            </w:r>
          </w:p>
        </w:tc>
        <w:tc>
          <w:tcPr>
            <w:tcW w:w="1843" w:type="dxa"/>
            <w:tcMar>
              <w:left w:w="108" w:type="dxa"/>
              <w:right w:w="108" w:type="dxa"/>
            </w:tcMar>
            <w:vAlign w:val="center"/>
          </w:tcPr>
          <w:p w14:paraId="7BFF655F" w14:textId="22D314D0" w:rsidR="7976FA3D" w:rsidRPr="0092512F" w:rsidRDefault="00C77386" w:rsidP="7976FA3D">
            <w:pPr>
              <w:spacing w:after="0"/>
              <w:rPr>
                <w:sz w:val="21"/>
                <w:szCs w:val="21"/>
              </w:rPr>
            </w:pPr>
            <w:r>
              <w:rPr>
                <w:rFonts w:ascii="Aptos" w:eastAsia="Aptos" w:hAnsi="Aptos" w:cs="Aptos"/>
                <w:color w:val="000000" w:themeColor="text1"/>
                <w:sz w:val="21"/>
                <w:szCs w:val="21"/>
              </w:rPr>
              <w:t>3 - 4</w:t>
            </w:r>
            <w:r w:rsidR="7976FA3D" w:rsidRPr="0092512F">
              <w:rPr>
                <w:rFonts w:ascii="Aptos" w:eastAsia="Aptos" w:hAnsi="Aptos" w:cs="Aptos"/>
                <w:color w:val="000000" w:themeColor="text1"/>
                <w:sz w:val="21"/>
                <w:szCs w:val="21"/>
              </w:rPr>
              <w:t xml:space="preserve"> weeks</w:t>
            </w:r>
          </w:p>
        </w:tc>
        <w:tc>
          <w:tcPr>
            <w:tcW w:w="1559" w:type="dxa"/>
            <w:tcMar>
              <w:left w:w="108" w:type="dxa"/>
              <w:right w:w="108" w:type="dxa"/>
            </w:tcMar>
            <w:vAlign w:val="center"/>
          </w:tcPr>
          <w:p w14:paraId="618D174E" w14:textId="258153EF" w:rsidR="7976FA3D" w:rsidRPr="0092512F" w:rsidRDefault="7976FA3D" w:rsidP="7976FA3D">
            <w:pPr>
              <w:spacing w:after="0"/>
              <w:rPr>
                <w:sz w:val="21"/>
                <w:szCs w:val="21"/>
              </w:rPr>
            </w:pPr>
            <w:r w:rsidRPr="0092512F">
              <w:rPr>
                <w:rFonts w:ascii="Aptos" w:eastAsia="Aptos" w:hAnsi="Aptos" w:cs="Aptos"/>
                <w:color w:val="000000" w:themeColor="text1"/>
                <w:sz w:val="21"/>
                <w:szCs w:val="21"/>
              </w:rPr>
              <w:t>1</w:t>
            </w:r>
            <w:r w:rsidR="00C77386">
              <w:rPr>
                <w:rFonts w:ascii="Aptos" w:eastAsia="Aptos" w:hAnsi="Aptos" w:cs="Aptos"/>
                <w:color w:val="000000" w:themeColor="text1"/>
                <w:sz w:val="21"/>
                <w:szCs w:val="21"/>
              </w:rPr>
              <w:t>3</w:t>
            </w:r>
            <w:r w:rsidRPr="0092512F">
              <w:rPr>
                <w:rFonts w:ascii="Aptos" w:eastAsia="Aptos" w:hAnsi="Aptos" w:cs="Aptos"/>
                <w:color w:val="000000" w:themeColor="text1"/>
                <w:sz w:val="21"/>
                <w:szCs w:val="21"/>
              </w:rPr>
              <w:t xml:space="preserve"> weeks</w:t>
            </w:r>
          </w:p>
        </w:tc>
      </w:tr>
      <w:tr w:rsidR="00D34966" w:rsidRPr="0092512F" w14:paraId="6E207BFA" w14:textId="77777777" w:rsidTr="00E36931">
        <w:trPr>
          <w:trHeight w:val="825"/>
          <w:jc w:val="center"/>
        </w:trPr>
        <w:tc>
          <w:tcPr>
            <w:tcW w:w="2316" w:type="dxa"/>
            <w:tcMar>
              <w:left w:w="108" w:type="dxa"/>
              <w:right w:w="108" w:type="dxa"/>
            </w:tcMar>
          </w:tcPr>
          <w:p w14:paraId="1CBD958F" w14:textId="77777777" w:rsidR="00D34966" w:rsidRDefault="00D34966" w:rsidP="00D34966">
            <w:pPr>
              <w:spacing w:after="0"/>
              <w:rPr>
                <w:rFonts w:ascii="Aptos" w:eastAsia="Aptos" w:hAnsi="Aptos" w:cs="Aptos"/>
                <w:color w:val="000000" w:themeColor="text1"/>
                <w:sz w:val="21"/>
                <w:szCs w:val="21"/>
              </w:rPr>
            </w:pPr>
          </w:p>
          <w:p w14:paraId="113BAB7D" w14:textId="15E8BD94" w:rsidR="00D34966" w:rsidRPr="0092512F" w:rsidRDefault="00D34966" w:rsidP="00D34966">
            <w:pPr>
              <w:spacing w:after="0"/>
              <w:rPr>
                <w:sz w:val="21"/>
                <w:szCs w:val="21"/>
              </w:rPr>
            </w:pPr>
            <w:r w:rsidRPr="00E63B64">
              <w:rPr>
                <w:rFonts w:ascii="Aptos" w:eastAsia="Aptos" w:hAnsi="Aptos" w:cs="Aptos"/>
                <w:color w:val="000000" w:themeColor="text1"/>
                <w:sz w:val="21"/>
                <w:szCs w:val="21"/>
              </w:rPr>
              <w:t>Barts Health</w:t>
            </w:r>
          </w:p>
        </w:tc>
        <w:tc>
          <w:tcPr>
            <w:tcW w:w="1218" w:type="dxa"/>
            <w:tcMar>
              <w:left w:w="108" w:type="dxa"/>
              <w:right w:w="108" w:type="dxa"/>
            </w:tcMar>
            <w:vAlign w:val="center"/>
          </w:tcPr>
          <w:p w14:paraId="6D685EEC" w14:textId="6B76AD2C" w:rsidR="00D34966" w:rsidRPr="0092512F" w:rsidRDefault="00D34966" w:rsidP="00D34966">
            <w:pPr>
              <w:spacing w:after="0"/>
              <w:rPr>
                <w:sz w:val="21"/>
                <w:szCs w:val="21"/>
              </w:rPr>
            </w:pPr>
            <w:r w:rsidRPr="0092512F">
              <w:rPr>
                <w:rFonts w:ascii="Aptos" w:eastAsia="Aptos" w:hAnsi="Aptos" w:cs="Aptos"/>
                <w:color w:val="000000" w:themeColor="text1"/>
                <w:sz w:val="21"/>
                <w:szCs w:val="21"/>
              </w:rPr>
              <w:t>Newham</w:t>
            </w:r>
          </w:p>
        </w:tc>
        <w:tc>
          <w:tcPr>
            <w:tcW w:w="2126" w:type="dxa"/>
            <w:tcMar>
              <w:left w:w="108" w:type="dxa"/>
              <w:right w:w="108" w:type="dxa"/>
            </w:tcMar>
            <w:vAlign w:val="center"/>
          </w:tcPr>
          <w:p w14:paraId="134D8236" w14:textId="6180A8EE" w:rsidR="00D34966" w:rsidRPr="0092512F" w:rsidRDefault="00D34966" w:rsidP="00D34966">
            <w:pPr>
              <w:spacing w:after="0"/>
              <w:rPr>
                <w:sz w:val="21"/>
                <w:szCs w:val="21"/>
              </w:rPr>
            </w:pPr>
            <w:r w:rsidRPr="0092512F">
              <w:rPr>
                <w:rFonts w:ascii="Aptos" w:eastAsia="Aptos" w:hAnsi="Aptos" w:cs="Aptos"/>
                <w:color w:val="000000" w:themeColor="text1"/>
                <w:sz w:val="21"/>
                <w:szCs w:val="21"/>
              </w:rPr>
              <w:t>8 weeks</w:t>
            </w:r>
          </w:p>
        </w:tc>
        <w:tc>
          <w:tcPr>
            <w:tcW w:w="1843" w:type="dxa"/>
            <w:tcMar>
              <w:left w:w="108" w:type="dxa"/>
              <w:right w:w="108" w:type="dxa"/>
            </w:tcMar>
            <w:vAlign w:val="center"/>
          </w:tcPr>
          <w:p w14:paraId="08F671F1" w14:textId="6F0A8E00" w:rsidR="00D34966" w:rsidRPr="0092512F" w:rsidRDefault="00D34966" w:rsidP="00D34966">
            <w:pPr>
              <w:spacing w:after="0"/>
              <w:rPr>
                <w:sz w:val="21"/>
                <w:szCs w:val="21"/>
              </w:rPr>
            </w:pPr>
            <w:r w:rsidRPr="0092512F">
              <w:rPr>
                <w:rFonts w:ascii="Aptos" w:eastAsia="Aptos" w:hAnsi="Aptos" w:cs="Aptos"/>
                <w:color w:val="000000" w:themeColor="text1"/>
                <w:sz w:val="21"/>
                <w:szCs w:val="21"/>
              </w:rPr>
              <w:t>8-12 (</w:t>
            </w:r>
            <w:r w:rsidRPr="00E36931">
              <w:rPr>
                <w:rFonts w:ascii="Aptos" w:eastAsia="Aptos" w:hAnsi="Aptos" w:cs="Aptos"/>
                <w:color w:val="000000" w:themeColor="text1"/>
                <w:sz w:val="16"/>
                <w:szCs w:val="16"/>
              </w:rPr>
              <w:t>All Patients treated @ Whipps)</w:t>
            </w:r>
          </w:p>
        </w:tc>
        <w:tc>
          <w:tcPr>
            <w:tcW w:w="1559" w:type="dxa"/>
            <w:tcMar>
              <w:left w:w="108" w:type="dxa"/>
              <w:right w:w="108" w:type="dxa"/>
            </w:tcMar>
            <w:vAlign w:val="center"/>
          </w:tcPr>
          <w:p w14:paraId="06A666BD" w14:textId="24FECA71" w:rsidR="00D34966" w:rsidRPr="0092512F" w:rsidRDefault="00D34966" w:rsidP="00D34966">
            <w:pPr>
              <w:spacing w:after="0"/>
              <w:rPr>
                <w:sz w:val="21"/>
                <w:szCs w:val="21"/>
              </w:rPr>
            </w:pPr>
            <w:r w:rsidRPr="0092512F">
              <w:rPr>
                <w:rFonts w:ascii="Aptos" w:eastAsia="Aptos" w:hAnsi="Aptos" w:cs="Aptos"/>
                <w:color w:val="000000" w:themeColor="text1"/>
                <w:sz w:val="21"/>
                <w:szCs w:val="21"/>
              </w:rPr>
              <w:t>16-20</w:t>
            </w:r>
          </w:p>
        </w:tc>
      </w:tr>
      <w:tr w:rsidR="00D34966" w:rsidRPr="0092512F" w14:paraId="101038F9" w14:textId="77777777" w:rsidTr="00E36931">
        <w:trPr>
          <w:trHeight w:val="810"/>
          <w:jc w:val="center"/>
        </w:trPr>
        <w:tc>
          <w:tcPr>
            <w:tcW w:w="2316" w:type="dxa"/>
            <w:vMerge w:val="restart"/>
            <w:tcMar>
              <w:left w:w="108" w:type="dxa"/>
              <w:right w:w="108" w:type="dxa"/>
            </w:tcMar>
          </w:tcPr>
          <w:p w14:paraId="3B80530B" w14:textId="77777777" w:rsidR="00D34966" w:rsidRDefault="00D34966" w:rsidP="00D34966">
            <w:pPr>
              <w:spacing w:after="0"/>
              <w:rPr>
                <w:rFonts w:ascii="Aptos" w:eastAsia="Aptos" w:hAnsi="Aptos" w:cs="Aptos"/>
                <w:color w:val="000000" w:themeColor="text1"/>
                <w:sz w:val="21"/>
                <w:szCs w:val="21"/>
              </w:rPr>
            </w:pPr>
          </w:p>
          <w:p w14:paraId="79502608" w14:textId="77777777" w:rsidR="00D34966" w:rsidRDefault="00D34966" w:rsidP="00D34966">
            <w:pPr>
              <w:spacing w:after="0"/>
              <w:rPr>
                <w:rFonts w:ascii="Aptos" w:eastAsia="Aptos" w:hAnsi="Aptos" w:cs="Aptos"/>
                <w:color w:val="000000" w:themeColor="text1"/>
                <w:sz w:val="21"/>
                <w:szCs w:val="21"/>
              </w:rPr>
            </w:pPr>
          </w:p>
          <w:p w14:paraId="5745FD5F" w14:textId="44FEAD6E" w:rsidR="00D34966" w:rsidRPr="0092512F" w:rsidRDefault="00D34966" w:rsidP="00D34966">
            <w:pPr>
              <w:spacing w:after="0"/>
              <w:rPr>
                <w:sz w:val="21"/>
                <w:szCs w:val="21"/>
              </w:rPr>
            </w:pPr>
            <w:r w:rsidRPr="00E63B64">
              <w:rPr>
                <w:rFonts w:ascii="Aptos" w:eastAsia="Aptos" w:hAnsi="Aptos" w:cs="Aptos"/>
                <w:color w:val="000000" w:themeColor="text1"/>
                <w:sz w:val="21"/>
                <w:szCs w:val="21"/>
              </w:rPr>
              <w:t>Barts Health</w:t>
            </w:r>
          </w:p>
        </w:tc>
        <w:tc>
          <w:tcPr>
            <w:tcW w:w="1218" w:type="dxa"/>
            <w:vMerge w:val="restart"/>
            <w:tcMar>
              <w:left w:w="108" w:type="dxa"/>
              <w:right w:w="108" w:type="dxa"/>
            </w:tcMar>
            <w:vAlign w:val="center"/>
          </w:tcPr>
          <w:p w14:paraId="5622214E" w14:textId="42214511" w:rsidR="00D34966" w:rsidRPr="0092512F" w:rsidRDefault="00D34966" w:rsidP="00D34966">
            <w:pPr>
              <w:spacing w:after="0"/>
              <w:rPr>
                <w:sz w:val="21"/>
                <w:szCs w:val="21"/>
              </w:rPr>
            </w:pPr>
            <w:r w:rsidRPr="0092512F">
              <w:rPr>
                <w:rFonts w:ascii="Aptos" w:eastAsia="Aptos" w:hAnsi="Aptos" w:cs="Aptos"/>
                <w:color w:val="000000" w:themeColor="text1"/>
                <w:sz w:val="21"/>
                <w:szCs w:val="21"/>
              </w:rPr>
              <w:t>Royal London</w:t>
            </w:r>
          </w:p>
        </w:tc>
        <w:tc>
          <w:tcPr>
            <w:tcW w:w="2126" w:type="dxa"/>
            <w:vMerge w:val="restart"/>
            <w:tcMar>
              <w:left w:w="108" w:type="dxa"/>
              <w:right w:w="108" w:type="dxa"/>
            </w:tcMar>
            <w:vAlign w:val="center"/>
          </w:tcPr>
          <w:p w14:paraId="22CABE29" w14:textId="0AF325B3" w:rsidR="00D34966" w:rsidRPr="0092512F" w:rsidRDefault="00C77386" w:rsidP="00D34966">
            <w:pPr>
              <w:spacing w:after="0"/>
              <w:rPr>
                <w:sz w:val="21"/>
                <w:szCs w:val="21"/>
              </w:rPr>
            </w:pPr>
            <w:r>
              <w:rPr>
                <w:rFonts w:ascii="Aptos" w:eastAsia="Aptos" w:hAnsi="Aptos" w:cs="Aptos"/>
                <w:color w:val="000000" w:themeColor="text1"/>
                <w:sz w:val="21"/>
                <w:szCs w:val="21"/>
              </w:rPr>
              <w:t>9</w:t>
            </w:r>
            <w:r w:rsidR="00D34966" w:rsidRPr="0092512F">
              <w:rPr>
                <w:rFonts w:ascii="Aptos" w:eastAsia="Aptos" w:hAnsi="Aptos" w:cs="Aptos"/>
                <w:color w:val="000000" w:themeColor="text1"/>
                <w:sz w:val="21"/>
                <w:szCs w:val="21"/>
              </w:rPr>
              <w:t xml:space="preserve"> weeks</w:t>
            </w:r>
          </w:p>
        </w:tc>
        <w:tc>
          <w:tcPr>
            <w:tcW w:w="1843" w:type="dxa"/>
            <w:tcMar>
              <w:left w:w="108" w:type="dxa"/>
              <w:right w:w="108" w:type="dxa"/>
            </w:tcMar>
            <w:vAlign w:val="center"/>
          </w:tcPr>
          <w:p w14:paraId="25746F4C" w14:textId="0A377CF5" w:rsidR="00D34966" w:rsidRPr="0092512F" w:rsidRDefault="00C77386" w:rsidP="00D34966">
            <w:pPr>
              <w:spacing w:after="0"/>
              <w:rPr>
                <w:sz w:val="21"/>
                <w:szCs w:val="21"/>
              </w:rPr>
            </w:pPr>
            <w:r>
              <w:rPr>
                <w:rFonts w:ascii="Aptos" w:eastAsia="Aptos" w:hAnsi="Aptos" w:cs="Aptos"/>
                <w:color w:val="000000" w:themeColor="text1"/>
                <w:sz w:val="21"/>
                <w:szCs w:val="21"/>
              </w:rPr>
              <w:t>6</w:t>
            </w:r>
            <w:r w:rsidR="00D34966" w:rsidRPr="0092512F">
              <w:rPr>
                <w:rFonts w:ascii="Aptos" w:eastAsia="Aptos" w:hAnsi="Aptos" w:cs="Aptos"/>
                <w:color w:val="000000" w:themeColor="text1"/>
                <w:sz w:val="21"/>
                <w:szCs w:val="21"/>
              </w:rPr>
              <w:t xml:space="preserve"> </w:t>
            </w:r>
            <w:proofErr w:type="gramStart"/>
            <w:r w:rsidR="00D34966" w:rsidRPr="0092512F">
              <w:rPr>
                <w:rFonts w:ascii="Aptos" w:eastAsia="Aptos" w:hAnsi="Aptos" w:cs="Aptos"/>
                <w:color w:val="000000" w:themeColor="text1"/>
                <w:sz w:val="21"/>
                <w:szCs w:val="21"/>
              </w:rPr>
              <w:t xml:space="preserve">weeks  </w:t>
            </w:r>
            <w:r w:rsidR="00D34966" w:rsidRPr="00E36931">
              <w:rPr>
                <w:rFonts w:ascii="Aptos" w:eastAsia="Aptos" w:hAnsi="Aptos" w:cs="Aptos"/>
                <w:color w:val="000000" w:themeColor="text1"/>
                <w:sz w:val="16"/>
                <w:szCs w:val="16"/>
              </w:rPr>
              <w:t>(</w:t>
            </w:r>
            <w:proofErr w:type="gramEnd"/>
            <w:r w:rsidR="00D34966" w:rsidRPr="00E36931">
              <w:rPr>
                <w:rFonts w:ascii="Aptos" w:eastAsia="Aptos" w:hAnsi="Aptos" w:cs="Aptos"/>
                <w:color w:val="000000" w:themeColor="text1"/>
                <w:sz w:val="16"/>
                <w:szCs w:val="16"/>
              </w:rPr>
              <w:t>Via our list at MEH Stratford)</w:t>
            </w:r>
          </w:p>
        </w:tc>
        <w:tc>
          <w:tcPr>
            <w:tcW w:w="1559" w:type="dxa"/>
            <w:tcMar>
              <w:left w:w="108" w:type="dxa"/>
              <w:right w:w="108" w:type="dxa"/>
            </w:tcMar>
            <w:vAlign w:val="center"/>
          </w:tcPr>
          <w:p w14:paraId="30F78D25" w14:textId="51202F21" w:rsidR="00D34966" w:rsidRPr="0092512F" w:rsidRDefault="00D34966" w:rsidP="00D34966">
            <w:pPr>
              <w:spacing w:after="0"/>
              <w:rPr>
                <w:sz w:val="21"/>
                <w:szCs w:val="21"/>
              </w:rPr>
            </w:pPr>
            <w:r w:rsidRPr="0092512F">
              <w:rPr>
                <w:rFonts w:ascii="Aptos" w:eastAsia="Aptos" w:hAnsi="Aptos" w:cs="Aptos"/>
                <w:color w:val="000000" w:themeColor="text1"/>
                <w:sz w:val="21"/>
                <w:szCs w:val="21"/>
              </w:rPr>
              <w:t>9 weeks – MEH</w:t>
            </w:r>
          </w:p>
        </w:tc>
      </w:tr>
      <w:tr w:rsidR="7976FA3D" w:rsidRPr="0092512F" w14:paraId="66EC9231" w14:textId="77777777" w:rsidTr="00E36931">
        <w:trPr>
          <w:trHeight w:val="270"/>
          <w:jc w:val="center"/>
        </w:trPr>
        <w:tc>
          <w:tcPr>
            <w:tcW w:w="2316" w:type="dxa"/>
            <w:vMerge/>
            <w:vAlign w:val="center"/>
          </w:tcPr>
          <w:p w14:paraId="762EB622" w14:textId="77777777" w:rsidR="00327D21" w:rsidRPr="0092512F" w:rsidRDefault="00327D21">
            <w:pPr>
              <w:rPr>
                <w:sz w:val="21"/>
                <w:szCs w:val="21"/>
              </w:rPr>
            </w:pPr>
          </w:p>
        </w:tc>
        <w:tc>
          <w:tcPr>
            <w:tcW w:w="1218" w:type="dxa"/>
            <w:vMerge/>
            <w:vAlign w:val="center"/>
          </w:tcPr>
          <w:p w14:paraId="72FBC8EE" w14:textId="77777777" w:rsidR="00327D21" w:rsidRPr="0092512F" w:rsidRDefault="00327D21">
            <w:pPr>
              <w:rPr>
                <w:sz w:val="21"/>
                <w:szCs w:val="21"/>
              </w:rPr>
            </w:pPr>
          </w:p>
        </w:tc>
        <w:tc>
          <w:tcPr>
            <w:tcW w:w="2126" w:type="dxa"/>
            <w:vMerge/>
            <w:vAlign w:val="center"/>
          </w:tcPr>
          <w:p w14:paraId="1829BCAF" w14:textId="77777777" w:rsidR="00327D21" w:rsidRPr="0092512F" w:rsidRDefault="00327D21">
            <w:pPr>
              <w:rPr>
                <w:sz w:val="21"/>
                <w:szCs w:val="21"/>
              </w:rPr>
            </w:pPr>
          </w:p>
        </w:tc>
        <w:tc>
          <w:tcPr>
            <w:tcW w:w="1843" w:type="dxa"/>
            <w:tcMar>
              <w:left w:w="108" w:type="dxa"/>
              <w:right w:w="108" w:type="dxa"/>
            </w:tcMar>
            <w:vAlign w:val="center"/>
          </w:tcPr>
          <w:p w14:paraId="358CF044" w14:textId="3669EBCA" w:rsidR="7976FA3D" w:rsidRPr="0092512F" w:rsidRDefault="7976FA3D" w:rsidP="7976FA3D">
            <w:pPr>
              <w:spacing w:after="0"/>
              <w:rPr>
                <w:sz w:val="21"/>
                <w:szCs w:val="21"/>
              </w:rPr>
            </w:pPr>
            <w:r w:rsidRPr="0092512F">
              <w:rPr>
                <w:rFonts w:ascii="Aptos" w:eastAsia="Aptos" w:hAnsi="Aptos" w:cs="Aptos"/>
                <w:color w:val="000000" w:themeColor="text1"/>
                <w:sz w:val="21"/>
                <w:szCs w:val="21"/>
              </w:rPr>
              <w:t>12 at RLH</w:t>
            </w:r>
          </w:p>
        </w:tc>
        <w:tc>
          <w:tcPr>
            <w:tcW w:w="1559" w:type="dxa"/>
            <w:tcMar>
              <w:left w:w="108" w:type="dxa"/>
              <w:right w:w="108" w:type="dxa"/>
            </w:tcMar>
            <w:vAlign w:val="center"/>
          </w:tcPr>
          <w:p w14:paraId="7F86A2B5" w14:textId="5A3E0E4E" w:rsidR="7976FA3D" w:rsidRPr="0092512F" w:rsidRDefault="7976FA3D" w:rsidP="7976FA3D">
            <w:pPr>
              <w:spacing w:after="0"/>
              <w:rPr>
                <w:sz w:val="21"/>
                <w:szCs w:val="21"/>
              </w:rPr>
            </w:pPr>
            <w:r w:rsidRPr="0092512F">
              <w:rPr>
                <w:rFonts w:ascii="Aptos" w:eastAsia="Aptos" w:hAnsi="Aptos" w:cs="Aptos"/>
                <w:color w:val="000000" w:themeColor="text1"/>
                <w:sz w:val="21"/>
                <w:szCs w:val="21"/>
              </w:rPr>
              <w:t xml:space="preserve"> </w:t>
            </w:r>
            <w:r w:rsidR="00C77386">
              <w:rPr>
                <w:rFonts w:ascii="Aptos" w:eastAsia="Aptos" w:hAnsi="Aptos" w:cs="Aptos"/>
                <w:color w:val="000000" w:themeColor="text1"/>
                <w:sz w:val="21"/>
                <w:szCs w:val="21"/>
              </w:rPr>
              <w:t>21 weeks</w:t>
            </w:r>
          </w:p>
        </w:tc>
      </w:tr>
      <w:tr w:rsidR="7976FA3D" w:rsidRPr="0092512F" w14:paraId="5EC06CC0" w14:textId="77777777" w:rsidTr="00E36931">
        <w:trPr>
          <w:trHeight w:val="555"/>
          <w:jc w:val="center"/>
        </w:trPr>
        <w:tc>
          <w:tcPr>
            <w:tcW w:w="2316" w:type="dxa"/>
            <w:tcMar>
              <w:left w:w="108" w:type="dxa"/>
              <w:right w:w="108" w:type="dxa"/>
            </w:tcMar>
            <w:vAlign w:val="center"/>
          </w:tcPr>
          <w:p w14:paraId="0C51B875" w14:textId="7D53B849" w:rsidR="7976FA3D" w:rsidRPr="0092512F" w:rsidRDefault="7976FA3D" w:rsidP="7976FA3D">
            <w:pPr>
              <w:spacing w:after="0"/>
              <w:rPr>
                <w:sz w:val="21"/>
                <w:szCs w:val="21"/>
              </w:rPr>
            </w:pPr>
            <w:r w:rsidRPr="0092512F">
              <w:rPr>
                <w:rFonts w:ascii="Aptos" w:eastAsia="Aptos" w:hAnsi="Aptos" w:cs="Aptos"/>
                <w:color w:val="000000" w:themeColor="text1"/>
                <w:sz w:val="21"/>
                <w:szCs w:val="21"/>
              </w:rPr>
              <w:t>BHRUT</w:t>
            </w:r>
          </w:p>
        </w:tc>
        <w:tc>
          <w:tcPr>
            <w:tcW w:w="1218" w:type="dxa"/>
            <w:tcMar>
              <w:left w:w="108" w:type="dxa"/>
              <w:right w:w="108" w:type="dxa"/>
            </w:tcMar>
            <w:vAlign w:val="center"/>
          </w:tcPr>
          <w:p w14:paraId="07D793C2" w14:textId="5C2836FB" w:rsidR="7976FA3D" w:rsidRPr="0092512F" w:rsidRDefault="7976FA3D" w:rsidP="7976FA3D">
            <w:pPr>
              <w:spacing w:after="0"/>
              <w:rPr>
                <w:sz w:val="21"/>
                <w:szCs w:val="21"/>
              </w:rPr>
            </w:pPr>
            <w:r w:rsidRPr="0092512F">
              <w:rPr>
                <w:rFonts w:ascii="Aptos" w:eastAsia="Aptos" w:hAnsi="Aptos" w:cs="Aptos"/>
                <w:color w:val="000000" w:themeColor="text1"/>
                <w:sz w:val="21"/>
                <w:szCs w:val="21"/>
              </w:rPr>
              <w:t>King George</w:t>
            </w:r>
          </w:p>
        </w:tc>
        <w:tc>
          <w:tcPr>
            <w:tcW w:w="2126" w:type="dxa"/>
            <w:tcMar>
              <w:left w:w="108" w:type="dxa"/>
              <w:right w:w="108" w:type="dxa"/>
            </w:tcMar>
            <w:vAlign w:val="center"/>
          </w:tcPr>
          <w:p w14:paraId="4855455D" w14:textId="28F69BCC" w:rsidR="7976FA3D" w:rsidRPr="0092512F" w:rsidRDefault="00C77386" w:rsidP="270DD16B">
            <w:pPr>
              <w:spacing w:after="0"/>
              <w:rPr>
                <w:rFonts w:ascii="Aptos" w:eastAsia="Aptos" w:hAnsi="Aptos" w:cs="Aptos"/>
                <w:i/>
                <w:iCs/>
                <w:color w:val="000000" w:themeColor="text1"/>
                <w:sz w:val="21"/>
                <w:szCs w:val="21"/>
              </w:rPr>
            </w:pPr>
            <w:r>
              <w:rPr>
                <w:rFonts w:ascii="Aptos" w:eastAsia="Aptos" w:hAnsi="Aptos" w:cs="Aptos"/>
                <w:i/>
                <w:iCs/>
                <w:color w:val="000000" w:themeColor="text1"/>
                <w:sz w:val="21"/>
                <w:szCs w:val="21"/>
              </w:rPr>
              <w:t>Not Submitted</w:t>
            </w:r>
          </w:p>
        </w:tc>
        <w:tc>
          <w:tcPr>
            <w:tcW w:w="1843" w:type="dxa"/>
            <w:tcMar>
              <w:left w:w="108" w:type="dxa"/>
              <w:right w:w="108" w:type="dxa"/>
            </w:tcMar>
            <w:vAlign w:val="center"/>
          </w:tcPr>
          <w:p w14:paraId="5D8D86F8" w14:textId="5D9C7282" w:rsidR="7976FA3D" w:rsidRPr="0092512F" w:rsidRDefault="7976FA3D" w:rsidP="270DD16B">
            <w:pPr>
              <w:spacing w:after="0"/>
              <w:rPr>
                <w:rFonts w:ascii="Aptos" w:eastAsia="Aptos" w:hAnsi="Aptos" w:cs="Aptos"/>
                <w:i/>
                <w:iCs/>
                <w:color w:val="000000" w:themeColor="text1"/>
                <w:sz w:val="21"/>
                <w:szCs w:val="21"/>
              </w:rPr>
            </w:pPr>
          </w:p>
        </w:tc>
        <w:tc>
          <w:tcPr>
            <w:tcW w:w="1559" w:type="dxa"/>
            <w:tcMar>
              <w:left w:w="108" w:type="dxa"/>
              <w:right w:w="108" w:type="dxa"/>
            </w:tcMar>
            <w:vAlign w:val="center"/>
          </w:tcPr>
          <w:p w14:paraId="23AB461A" w14:textId="55E1D851" w:rsidR="7976FA3D" w:rsidRPr="0092512F" w:rsidRDefault="7976FA3D" w:rsidP="270DD16B">
            <w:pPr>
              <w:spacing w:after="0"/>
              <w:rPr>
                <w:rFonts w:ascii="Aptos" w:eastAsia="Aptos" w:hAnsi="Aptos" w:cs="Aptos"/>
                <w:i/>
                <w:iCs/>
                <w:color w:val="000000" w:themeColor="text1"/>
                <w:sz w:val="21"/>
                <w:szCs w:val="21"/>
              </w:rPr>
            </w:pPr>
          </w:p>
        </w:tc>
      </w:tr>
      <w:tr w:rsidR="7976FA3D" w:rsidRPr="0092512F" w14:paraId="08F4CB1D" w14:textId="77777777" w:rsidTr="00E36931">
        <w:trPr>
          <w:trHeight w:val="285"/>
          <w:jc w:val="center"/>
        </w:trPr>
        <w:tc>
          <w:tcPr>
            <w:tcW w:w="9062" w:type="dxa"/>
            <w:gridSpan w:val="5"/>
            <w:shd w:val="clear" w:color="auto" w:fill="8DD873" w:themeFill="accent6" w:themeFillTint="99"/>
            <w:tcMar>
              <w:left w:w="108" w:type="dxa"/>
              <w:right w:w="108" w:type="dxa"/>
            </w:tcMar>
            <w:vAlign w:val="center"/>
          </w:tcPr>
          <w:p w14:paraId="23CF0795" w14:textId="1CC003D9" w:rsidR="7976FA3D" w:rsidRPr="0092512F" w:rsidRDefault="7976FA3D" w:rsidP="7976FA3D">
            <w:pPr>
              <w:spacing w:after="0"/>
              <w:rPr>
                <w:sz w:val="21"/>
                <w:szCs w:val="21"/>
              </w:rPr>
            </w:pPr>
            <w:r w:rsidRPr="0092512F">
              <w:rPr>
                <w:rFonts w:ascii="Aptos" w:eastAsia="Aptos" w:hAnsi="Aptos" w:cs="Aptos"/>
                <w:b/>
                <w:bCs/>
                <w:color w:val="000000" w:themeColor="text1"/>
                <w:sz w:val="21"/>
                <w:szCs w:val="21"/>
                <w:u w:val="single"/>
              </w:rPr>
              <w:t>Independent providers</w:t>
            </w:r>
          </w:p>
        </w:tc>
      </w:tr>
      <w:tr w:rsidR="7976FA3D" w:rsidRPr="0092512F" w14:paraId="118A8190" w14:textId="77777777" w:rsidTr="00E36931">
        <w:trPr>
          <w:trHeight w:val="285"/>
          <w:jc w:val="center"/>
        </w:trPr>
        <w:tc>
          <w:tcPr>
            <w:tcW w:w="2316" w:type="dxa"/>
            <w:tcMar>
              <w:left w:w="108" w:type="dxa"/>
              <w:right w:w="108" w:type="dxa"/>
            </w:tcMar>
            <w:vAlign w:val="center"/>
          </w:tcPr>
          <w:p w14:paraId="403806AE" w14:textId="3CED6584" w:rsidR="7976FA3D" w:rsidRPr="0092512F" w:rsidRDefault="7976FA3D" w:rsidP="7976FA3D">
            <w:pPr>
              <w:spacing w:after="0"/>
              <w:rPr>
                <w:sz w:val="21"/>
                <w:szCs w:val="21"/>
              </w:rPr>
            </w:pPr>
            <w:r w:rsidRPr="0092512F">
              <w:rPr>
                <w:rFonts w:ascii="Aptos" w:eastAsia="Aptos" w:hAnsi="Aptos" w:cs="Aptos"/>
                <w:color w:val="000000" w:themeColor="text1"/>
                <w:sz w:val="21"/>
                <w:szCs w:val="21"/>
              </w:rPr>
              <w:t>Nuffield Health</w:t>
            </w:r>
          </w:p>
        </w:tc>
        <w:tc>
          <w:tcPr>
            <w:tcW w:w="1218" w:type="dxa"/>
            <w:tcMar>
              <w:left w:w="108" w:type="dxa"/>
              <w:right w:w="108" w:type="dxa"/>
            </w:tcMar>
            <w:vAlign w:val="center"/>
          </w:tcPr>
          <w:p w14:paraId="46794507" w14:textId="1AFE6053" w:rsidR="7976FA3D" w:rsidRPr="0092512F" w:rsidRDefault="7976FA3D" w:rsidP="7976FA3D">
            <w:pPr>
              <w:spacing w:after="0"/>
              <w:rPr>
                <w:sz w:val="21"/>
                <w:szCs w:val="21"/>
              </w:rPr>
            </w:pPr>
            <w:r w:rsidRPr="0092512F">
              <w:rPr>
                <w:rFonts w:ascii="Aptos" w:eastAsia="Aptos" w:hAnsi="Aptos" w:cs="Aptos"/>
                <w:color w:val="000000" w:themeColor="text1"/>
                <w:sz w:val="21"/>
                <w:szCs w:val="21"/>
              </w:rPr>
              <w:t>Holly</w:t>
            </w:r>
          </w:p>
        </w:tc>
        <w:tc>
          <w:tcPr>
            <w:tcW w:w="2126" w:type="dxa"/>
            <w:tcMar>
              <w:left w:w="108" w:type="dxa"/>
              <w:right w:w="108" w:type="dxa"/>
            </w:tcMar>
            <w:vAlign w:val="center"/>
          </w:tcPr>
          <w:p w14:paraId="1CD8D8E9" w14:textId="571C0B3A" w:rsidR="7976FA3D" w:rsidRPr="0092512F" w:rsidRDefault="7976FA3D" w:rsidP="7976FA3D">
            <w:pPr>
              <w:spacing w:after="0"/>
              <w:rPr>
                <w:sz w:val="21"/>
                <w:szCs w:val="21"/>
              </w:rPr>
            </w:pPr>
            <w:r w:rsidRPr="0092512F">
              <w:rPr>
                <w:rFonts w:ascii="Aptos" w:eastAsia="Aptos" w:hAnsi="Aptos" w:cs="Aptos"/>
                <w:color w:val="000000" w:themeColor="text1"/>
                <w:sz w:val="21"/>
                <w:szCs w:val="21"/>
              </w:rPr>
              <w:t>2 weeks</w:t>
            </w:r>
          </w:p>
        </w:tc>
        <w:tc>
          <w:tcPr>
            <w:tcW w:w="1843" w:type="dxa"/>
            <w:tcMar>
              <w:left w:w="108" w:type="dxa"/>
              <w:right w:w="108" w:type="dxa"/>
            </w:tcMar>
            <w:vAlign w:val="center"/>
          </w:tcPr>
          <w:p w14:paraId="0244EB10" w14:textId="025AEF8F" w:rsidR="7976FA3D" w:rsidRPr="0092512F" w:rsidRDefault="00C77386" w:rsidP="7976FA3D">
            <w:pPr>
              <w:spacing w:after="0"/>
              <w:jc w:val="right"/>
              <w:rPr>
                <w:sz w:val="21"/>
                <w:szCs w:val="21"/>
              </w:rPr>
            </w:pPr>
            <w:r>
              <w:rPr>
                <w:rFonts w:ascii="Aptos" w:eastAsia="Aptos" w:hAnsi="Aptos" w:cs="Aptos"/>
                <w:color w:val="000000" w:themeColor="text1"/>
                <w:sz w:val="21"/>
                <w:szCs w:val="21"/>
              </w:rPr>
              <w:t>5 weeks</w:t>
            </w:r>
          </w:p>
        </w:tc>
        <w:tc>
          <w:tcPr>
            <w:tcW w:w="1559" w:type="dxa"/>
            <w:tcMar>
              <w:left w:w="108" w:type="dxa"/>
              <w:right w:w="108" w:type="dxa"/>
            </w:tcMar>
            <w:vAlign w:val="center"/>
          </w:tcPr>
          <w:p w14:paraId="3D9E02BB" w14:textId="78A2E039" w:rsidR="7976FA3D" w:rsidRPr="0092512F" w:rsidRDefault="00C77386" w:rsidP="7976FA3D">
            <w:pPr>
              <w:spacing w:after="0"/>
              <w:rPr>
                <w:sz w:val="21"/>
                <w:szCs w:val="21"/>
              </w:rPr>
            </w:pPr>
            <w:r>
              <w:rPr>
                <w:rFonts w:ascii="Aptos" w:eastAsia="Aptos" w:hAnsi="Aptos" w:cs="Aptos"/>
                <w:color w:val="000000" w:themeColor="text1"/>
                <w:sz w:val="21"/>
                <w:szCs w:val="21"/>
              </w:rPr>
              <w:t>7 weeks</w:t>
            </w:r>
          </w:p>
        </w:tc>
      </w:tr>
      <w:tr w:rsidR="7976FA3D" w:rsidRPr="0092512F" w14:paraId="4183D3B2" w14:textId="77777777" w:rsidTr="00E36931">
        <w:trPr>
          <w:trHeight w:val="285"/>
          <w:jc w:val="center"/>
        </w:trPr>
        <w:tc>
          <w:tcPr>
            <w:tcW w:w="2316" w:type="dxa"/>
            <w:tcMar>
              <w:left w:w="108" w:type="dxa"/>
              <w:right w:w="108" w:type="dxa"/>
            </w:tcMar>
            <w:vAlign w:val="center"/>
          </w:tcPr>
          <w:p w14:paraId="5C13EDE3" w14:textId="0EDCCB24" w:rsidR="7976FA3D" w:rsidRPr="0092512F" w:rsidRDefault="7976FA3D" w:rsidP="7976FA3D">
            <w:pPr>
              <w:spacing w:after="0"/>
              <w:rPr>
                <w:sz w:val="21"/>
                <w:szCs w:val="21"/>
              </w:rPr>
            </w:pPr>
            <w:r w:rsidRPr="270DD16B">
              <w:rPr>
                <w:rFonts w:ascii="Aptos" w:eastAsia="Aptos" w:hAnsi="Aptos" w:cs="Aptos"/>
                <w:color w:val="000000" w:themeColor="text1"/>
                <w:sz w:val="21"/>
                <w:szCs w:val="21"/>
              </w:rPr>
              <w:t xml:space="preserve"> </w:t>
            </w:r>
            <w:r w:rsidR="0FA9CCBD" w:rsidRPr="270DD16B">
              <w:rPr>
                <w:rFonts w:ascii="Aptos" w:eastAsia="Aptos" w:hAnsi="Aptos" w:cs="Aptos"/>
                <w:color w:val="000000" w:themeColor="text1"/>
                <w:sz w:val="21"/>
                <w:szCs w:val="21"/>
              </w:rPr>
              <w:t>Spa Medica</w:t>
            </w:r>
          </w:p>
        </w:tc>
        <w:tc>
          <w:tcPr>
            <w:tcW w:w="1218" w:type="dxa"/>
            <w:tcMar>
              <w:left w:w="108" w:type="dxa"/>
              <w:right w:w="108" w:type="dxa"/>
            </w:tcMar>
            <w:vAlign w:val="center"/>
          </w:tcPr>
          <w:p w14:paraId="6014CD39" w14:textId="56EBFB5B" w:rsidR="7976FA3D" w:rsidRPr="0092512F" w:rsidRDefault="7976FA3D" w:rsidP="7976FA3D">
            <w:pPr>
              <w:spacing w:after="0"/>
              <w:rPr>
                <w:sz w:val="21"/>
                <w:szCs w:val="21"/>
              </w:rPr>
            </w:pPr>
            <w:r w:rsidRPr="0092512F">
              <w:rPr>
                <w:rFonts w:ascii="Aptos" w:eastAsia="Aptos" w:hAnsi="Aptos" w:cs="Aptos"/>
                <w:color w:val="000000" w:themeColor="text1"/>
                <w:sz w:val="21"/>
                <w:szCs w:val="21"/>
              </w:rPr>
              <w:t xml:space="preserve"> </w:t>
            </w:r>
            <w:r w:rsidR="00C77386">
              <w:rPr>
                <w:rFonts w:ascii="Aptos" w:eastAsia="Aptos" w:hAnsi="Aptos" w:cs="Aptos"/>
                <w:color w:val="000000" w:themeColor="text1"/>
                <w:sz w:val="21"/>
                <w:szCs w:val="21"/>
              </w:rPr>
              <w:t>Dalston</w:t>
            </w:r>
          </w:p>
        </w:tc>
        <w:tc>
          <w:tcPr>
            <w:tcW w:w="2126" w:type="dxa"/>
            <w:tcMar>
              <w:left w:w="108" w:type="dxa"/>
              <w:right w:w="108" w:type="dxa"/>
            </w:tcMar>
            <w:vAlign w:val="center"/>
          </w:tcPr>
          <w:p w14:paraId="599A7125" w14:textId="174660AA" w:rsidR="7976FA3D" w:rsidRPr="0092512F" w:rsidRDefault="00C77386" w:rsidP="7976FA3D">
            <w:pPr>
              <w:spacing w:after="0"/>
              <w:rPr>
                <w:sz w:val="21"/>
                <w:szCs w:val="21"/>
              </w:rPr>
            </w:pPr>
            <w:r>
              <w:rPr>
                <w:rFonts w:ascii="Aptos" w:eastAsia="Aptos" w:hAnsi="Aptos" w:cs="Aptos"/>
                <w:color w:val="000000" w:themeColor="text1"/>
                <w:sz w:val="21"/>
                <w:szCs w:val="21"/>
              </w:rPr>
              <w:t>2 weeks</w:t>
            </w:r>
          </w:p>
        </w:tc>
        <w:tc>
          <w:tcPr>
            <w:tcW w:w="1843" w:type="dxa"/>
            <w:tcMar>
              <w:left w:w="108" w:type="dxa"/>
              <w:right w:w="108" w:type="dxa"/>
            </w:tcMar>
            <w:vAlign w:val="center"/>
          </w:tcPr>
          <w:p w14:paraId="12BAC3F4" w14:textId="1E94C1CB" w:rsidR="7976FA3D" w:rsidRPr="0092512F" w:rsidRDefault="00C77386" w:rsidP="7976FA3D">
            <w:pPr>
              <w:spacing w:after="0"/>
              <w:rPr>
                <w:sz w:val="21"/>
                <w:szCs w:val="21"/>
              </w:rPr>
            </w:pPr>
            <w:r>
              <w:rPr>
                <w:rFonts w:ascii="Aptos" w:eastAsia="Aptos" w:hAnsi="Aptos" w:cs="Aptos"/>
                <w:color w:val="000000" w:themeColor="text1"/>
                <w:sz w:val="21"/>
                <w:szCs w:val="21"/>
              </w:rPr>
              <w:t>1 week</w:t>
            </w:r>
          </w:p>
        </w:tc>
        <w:tc>
          <w:tcPr>
            <w:tcW w:w="1559" w:type="dxa"/>
            <w:tcMar>
              <w:left w:w="108" w:type="dxa"/>
              <w:right w:w="108" w:type="dxa"/>
            </w:tcMar>
            <w:vAlign w:val="center"/>
          </w:tcPr>
          <w:p w14:paraId="0CD38E12" w14:textId="5E9EDB3D" w:rsidR="7976FA3D" w:rsidRPr="0092512F" w:rsidRDefault="00C77386" w:rsidP="7976FA3D">
            <w:pPr>
              <w:spacing w:after="0"/>
              <w:rPr>
                <w:sz w:val="21"/>
                <w:szCs w:val="21"/>
              </w:rPr>
            </w:pPr>
            <w:r>
              <w:rPr>
                <w:rFonts w:ascii="Aptos" w:eastAsia="Aptos" w:hAnsi="Aptos" w:cs="Aptos"/>
                <w:color w:val="000000" w:themeColor="text1"/>
                <w:sz w:val="21"/>
                <w:szCs w:val="21"/>
              </w:rPr>
              <w:t>3 weeks</w:t>
            </w:r>
          </w:p>
        </w:tc>
      </w:tr>
      <w:tr w:rsidR="7976FA3D" w:rsidRPr="0092512F" w14:paraId="5C037218" w14:textId="77777777" w:rsidTr="00E36931">
        <w:trPr>
          <w:trHeight w:val="285"/>
          <w:jc w:val="center"/>
        </w:trPr>
        <w:tc>
          <w:tcPr>
            <w:tcW w:w="2316" w:type="dxa"/>
            <w:tcMar>
              <w:left w:w="108" w:type="dxa"/>
              <w:right w:w="108" w:type="dxa"/>
            </w:tcMar>
            <w:vAlign w:val="center"/>
          </w:tcPr>
          <w:p w14:paraId="4A26C0B8" w14:textId="575055F7" w:rsidR="7976FA3D" w:rsidRPr="0092512F" w:rsidRDefault="7C690A05" w:rsidP="270DD16B">
            <w:pPr>
              <w:spacing w:after="0"/>
            </w:pPr>
            <w:r w:rsidRPr="270DD16B">
              <w:rPr>
                <w:rFonts w:ascii="Aptos" w:eastAsia="Aptos" w:hAnsi="Aptos" w:cs="Aptos"/>
                <w:color w:val="000000" w:themeColor="text1"/>
                <w:sz w:val="21"/>
                <w:szCs w:val="21"/>
              </w:rPr>
              <w:t xml:space="preserve">Circle </w:t>
            </w:r>
          </w:p>
        </w:tc>
        <w:tc>
          <w:tcPr>
            <w:tcW w:w="1218" w:type="dxa"/>
            <w:tcMar>
              <w:left w:w="108" w:type="dxa"/>
              <w:right w:w="108" w:type="dxa"/>
            </w:tcMar>
            <w:vAlign w:val="center"/>
          </w:tcPr>
          <w:p w14:paraId="27432F26" w14:textId="0EC15607" w:rsidR="7976FA3D" w:rsidRPr="0092512F" w:rsidRDefault="7C690A05" w:rsidP="270DD16B">
            <w:pPr>
              <w:spacing w:after="0"/>
            </w:pPr>
            <w:r w:rsidRPr="270DD16B">
              <w:rPr>
                <w:rFonts w:ascii="Aptos" w:eastAsia="Aptos" w:hAnsi="Aptos" w:cs="Aptos"/>
                <w:color w:val="000000" w:themeColor="text1"/>
                <w:sz w:val="21"/>
                <w:szCs w:val="21"/>
              </w:rPr>
              <w:t>LIH</w:t>
            </w:r>
          </w:p>
        </w:tc>
        <w:tc>
          <w:tcPr>
            <w:tcW w:w="2126" w:type="dxa"/>
            <w:tcMar>
              <w:left w:w="108" w:type="dxa"/>
              <w:right w:w="108" w:type="dxa"/>
            </w:tcMar>
            <w:vAlign w:val="center"/>
          </w:tcPr>
          <w:p w14:paraId="1AC6B3CC" w14:textId="424EE0ED" w:rsidR="7976FA3D" w:rsidRPr="00C77386" w:rsidRDefault="00C77386" w:rsidP="7976FA3D">
            <w:pPr>
              <w:spacing w:after="0"/>
              <w:rPr>
                <w:i/>
                <w:iCs/>
                <w:sz w:val="21"/>
                <w:szCs w:val="21"/>
              </w:rPr>
            </w:pPr>
            <w:r w:rsidRPr="00C77386">
              <w:rPr>
                <w:rFonts w:ascii="Aptos" w:eastAsia="Aptos" w:hAnsi="Aptos" w:cs="Aptos"/>
                <w:i/>
                <w:iCs/>
                <w:color w:val="000000" w:themeColor="text1"/>
                <w:sz w:val="21"/>
                <w:szCs w:val="21"/>
              </w:rPr>
              <w:t>Not submitted</w:t>
            </w:r>
          </w:p>
        </w:tc>
        <w:tc>
          <w:tcPr>
            <w:tcW w:w="1843" w:type="dxa"/>
            <w:tcMar>
              <w:left w:w="108" w:type="dxa"/>
              <w:right w:w="108" w:type="dxa"/>
            </w:tcMar>
            <w:vAlign w:val="center"/>
          </w:tcPr>
          <w:p w14:paraId="7810BE24" w14:textId="0D7652C1" w:rsidR="7976FA3D" w:rsidRPr="0092512F" w:rsidRDefault="7976FA3D" w:rsidP="7976FA3D">
            <w:pPr>
              <w:spacing w:after="0"/>
              <w:rPr>
                <w:sz w:val="21"/>
                <w:szCs w:val="21"/>
              </w:rPr>
            </w:pPr>
            <w:r w:rsidRPr="0092512F">
              <w:rPr>
                <w:rFonts w:ascii="Aptos" w:eastAsia="Aptos" w:hAnsi="Aptos" w:cs="Aptos"/>
                <w:color w:val="000000" w:themeColor="text1"/>
                <w:sz w:val="21"/>
                <w:szCs w:val="21"/>
              </w:rPr>
              <w:t xml:space="preserve"> </w:t>
            </w:r>
          </w:p>
        </w:tc>
        <w:tc>
          <w:tcPr>
            <w:tcW w:w="1559" w:type="dxa"/>
            <w:tcMar>
              <w:left w:w="108" w:type="dxa"/>
              <w:right w:w="108" w:type="dxa"/>
            </w:tcMar>
            <w:vAlign w:val="center"/>
          </w:tcPr>
          <w:p w14:paraId="0DB6B243" w14:textId="096359E8" w:rsidR="7976FA3D" w:rsidRPr="0092512F" w:rsidRDefault="7976FA3D" w:rsidP="7976FA3D">
            <w:pPr>
              <w:spacing w:after="0"/>
              <w:rPr>
                <w:rFonts w:ascii="Aptos" w:eastAsia="Aptos" w:hAnsi="Aptos" w:cs="Aptos"/>
                <w:color w:val="000000" w:themeColor="text1"/>
                <w:sz w:val="21"/>
                <w:szCs w:val="21"/>
              </w:rPr>
            </w:pPr>
          </w:p>
        </w:tc>
      </w:tr>
    </w:tbl>
    <w:p w14:paraId="15BBF264" w14:textId="56932E15" w:rsidR="000D57D9" w:rsidRPr="0092512F" w:rsidRDefault="000D57D9" w:rsidP="000D57D9">
      <w:pPr>
        <w:spacing w:after="0"/>
        <w:rPr>
          <w:sz w:val="21"/>
          <w:szCs w:val="21"/>
        </w:rPr>
      </w:pPr>
    </w:p>
    <w:p w14:paraId="464314CF" w14:textId="2D064EEB" w:rsidR="00F00411" w:rsidRPr="0092512F" w:rsidRDefault="286DF7C8">
      <w:pPr>
        <w:rPr>
          <w:sz w:val="21"/>
          <w:szCs w:val="21"/>
        </w:rPr>
      </w:pPr>
      <w:r w:rsidRPr="270DD16B">
        <w:rPr>
          <w:sz w:val="21"/>
          <w:szCs w:val="21"/>
        </w:rPr>
        <w:t>Cataracts are a corrective procedure</w:t>
      </w:r>
      <w:r w:rsidR="460AAAA7" w:rsidRPr="270DD16B">
        <w:rPr>
          <w:sz w:val="21"/>
          <w:szCs w:val="21"/>
        </w:rPr>
        <w:t xml:space="preserve">, </w:t>
      </w:r>
      <w:r w:rsidRPr="270DD16B">
        <w:rPr>
          <w:sz w:val="21"/>
          <w:szCs w:val="21"/>
        </w:rPr>
        <w:t xml:space="preserve">and timing is not essential for </w:t>
      </w:r>
      <w:r w:rsidR="4CA93413" w:rsidRPr="270DD16B">
        <w:rPr>
          <w:sz w:val="21"/>
          <w:szCs w:val="21"/>
        </w:rPr>
        <w:t>reversing</w:t>
      </w:r>
      <w:r w:rsidRPr="270DD16B">
        <w:rPr>
          <w:sz w:val="21"/>
          <w:szCs w:val="21"/>
        </w:rPr>
        <w:t xml:space="preserve"> the </w:t>
      </w:r>
      <w:r w:rsidR="3AC7688D" w:rsidRPr="270DD16B">
        <w:rPr>
          <w:sz w:val="21"/>
          <w:szCs w:val="21"/>
        </w:rPr>
        <w:t>effects</w:t>
      </w:r>
      <w:r w:rsidR="386F5C2B" w:rsidRPr="270DD16B">
        <w:rPr>
          <w:sz w:val="21"/>
          <w:szCs w:val="21"/>
        </w:rPr>
        <w:t xml:space="preserve"> on vision so waiting time should not be the only </w:t>
      </w:r>
      <w:r w:rsidR="54035253" w:rsidRPr="270DD16B">
        <w:rPr>
          <w:sz w:val="21"/>
          <w:szCs w:val="21"/>
        </w:rPr>
        <w:t>consideration</w:t>
      </w:r>
      <w:r w:rsidR="4486EEBB" w:rsidRPr="270DD16B">
        <w:rPr>
          <w:sz w:val="21"/>
          <w:szCs w:val="21"/>
        </w:rPr>
        <w:t xml:space="preserve"> </w:t>
      </w:r>
      <w:r w:rsidR="386F5C2B" w:rsidRPr="270DD16B">
        <w:rPr>
          <w:sz w:val="21"/>
          <w:szCs w:val="21"/>
        </w:rPr>
        <w:t xml:space="preserve">of the most suitable provider for your patient. </w:t>
      </w:r>
      <w:r w:rsidR="110B69D1" w:rsidRPr="270DD16B">
        <w:rPr>
          <w:sz w:val="21"/>
          <w:szCs w:val="21"/>
        </w:rPr>
        <w:t>Please ensure that if you are</w:t>
      </w:r>
      <w:r w:rsidR="76D014A1" w:rsidRPr="270DD16B">
        <w:rPr>
          <w:sz w:val="21"/>
          <w:szCs w:val="21"/>
        </w:rPr>
        <w:t xml:space="preserve"> discussing choice</w:t>
      </w:r>
      <w:r w:rsidR="110B69D1" w:rsidRPr="270DD16B">
        <w:rPr>
          <w:sz w:val="21"/>
          <w:szCs w:val="21"/>
        </w:rPr>
        <w:t xml:space="preserve"> of providers with your patient that you have considered:</w:t>
      </w:r>
    </w:p>
    <w:p w14:paraId="4692B934" w14:textId="736A522A" w:rsidR="110B69D1" w:rsidRDefault="110B69D1" w:rsidP="07938E02">
      <w:pPr>
        <w:pStyle w:val="ListParagraph"/>
        <w:numPr>
          <w:ilvl w:val="0"/>
          <w:numId w:val="1"/>
        </w:numPr>
        <w:rPr>
          <w:sz w:val="21"/>
          <w:szCs w:val="21"/>
        </w:rPr>
      </w:pPr>
      <w:r w:rsidRPr="07938E02">
        <w:rPr>
          <w:sz w:val="21"/>
          <w:szCs w:val="21"/>
        </w:rPr>
        <w:t>That they meet the EBI Criteria</w:t>
      </w:r>
      <w:r w:rsidR="0429B514" w:rsidRPr="07938E02">
        <w:rPr>
          <w:sz w:val="21"/>
          <w:szCs w:val="21"/>
        </w:rPr>
        <w:t xml:space="preserve"> to ensure you are not wasting the patients time and NHS resources</w:t>
      </w:r>
    </w:p>
    <w:p w14:paraId="68F9C470" w14:textId="6D351DE3" w:rsidR="110B69D1" w:rsidRDefault="110B69D1" w:rsidP="07938E02">
      <w:pPr>
        <w:pStyle w:val="ListParagraph"/>
        <w:numPr>
          <w:ilvl w:val="0"/>
          <w:numId w:val="1"/>
        </w:numPr>
        <w:rPr>
          <w:sz w:val="21"/>
          <w:szCs w:val="21"/>
        </w:rPr>
      </w:pPr>
      <w:r w:rsidRPr="270DD16B">
        <w:rPr>
          <w:sz w:val="21"/>
          <w:szCs w:val="21"/>
        </w:rPr>
        <w:t>Clinical Co-morbidities which may imply more complicated surgical proc</w:t>
      </w:r>
      <w:r w:rsidR="3CC28593" w:rsidRPr="270DD16B">
        <w:rPr>
          <w:sz w:val="21"/>
          <w:szCs w:val="21"/>
        </w:rPr>
        <w:t>edures</w:t>
      </w:r>
      <w:r w:rsidR="4F09385E" w:rsidRPr="270DD16B">
        <w:rPr>
          <w:sz w:val="21"/>
          <w:szCs w:val="21"/>
        </w:rPr>
        <w:t xml:space="preserve"> </w:t>
      </w:r>
    </w:p>
    <w:p w14:paraId="49408FC5" w14:textId="342F2CE6" w:rsidR="3CC28593" w:rsidRDefault="3CC28593" w:rsidP="07938E02">
      <w:pPr>
        <w:pStyle w:val="ListParagraph"/>
        <w:numPr>
          <w:ilvl w:val="0"/>
          <w:numId w:val="1"/>
        </w:numPr>
        <w:rPr>
          <w:sz w:val="21"/>
          <w:szCs w:val="21"/>
        </w:rPr>
      </w:pPr>
      <w:r w:rsidRPr="07938E02">
        <w:rPr>
          <w:sz w:val="21"/>
          <w:szCs w:val="21"/>
        </w:rPr>
        <w:t xml:space="preserve">If they are currently under the care of an ophthalmologist who need to be aware of the referral and </w:t>
      </w:r>
      <w:r w:rsidR="587AB916" w:rsidRPr="07938E02">
        <w:rPr>
          <w:sz w:val="21"/>
          <w:szCs w:val="21"/>
        </w:rPr>
        <w:t xml:space="preserve">attending the </w:t>
      </w:r>
      <w:r w:rsidR="102B5485" w:rsidRPr="07938E02">
        <w:rPr>
          <w:sz w:val="21"/>
          <w:szCs w:val="21"/>
        </w:rPr>
        <w:t>same provider may mean less visits to hospital</w:t>
      </w:r>
    </w:p>
    <w:p w14:paraId="57390D1F" w14:textId="555F6E62" w:rsidR="20760603" w:rsidRDefault="20760603" w:rsidP="07938E02">
      <w:pPr>
        <w:pStyle w:val="ListParagraph"/>
        <w:numPr>
          <w:ilvl w:val="0"/>
          <w:numId w:val="1"/>
        </w:numPr>
        <w:rPr>
          <w:sz w:val="21"/>
          <w:szCs w:val="21"/>
        </w:rPr>
      </w:pPr>
      <w:r w:rsidRPr="07938E02">
        <w:rPr>
          <w:sz w:val="21"/>
          <w:szCs w:val="21"/>
        </w:rPr>
        <w:t xml:space="preserve">Personal circumstances restricting travel such as </w:t>
      </w:r>
      <w:r w:rsidR="722AEDB8" w:rsidRPr="07938E02">
        <w:rPr>
          <w:sz w:val="21"/>
          <w:szCs w:val="21"/>
        </w:rPr>
        <w:t xml:space="preserve">their work, </w:t>
      </w:r>
      <w:r w:rsidRPr="07938E02">
        <w:rPr>
          <w:sz w:val="21"/>
          <w:szCs w:val="21"/>
        </w:rPr>
        <w:t xml:space="preserve">frailty, finances or other circumstances that </w:t>
      </w:r>
      <w:r w:rsidR="1D42E100" w:rsidRPr="07938E02">
        <w:rPr>
          <w:sz w:val="21"/>
          <w:szCs w:val="21"/>
        </w:rPr>
        <w:t xml:space="preserve">may mean they will prefer </w:t>
      </w:r>
      <w:r w:rsidR="2F17CE84" w:rsidRPr="07938E02">
        <w:rPr>
          <w:sz w:val="21"/>
          <w:szCs w:val="21"/>
        </w:rPr>
        <w:t>specific providers over others</w:t>
      </w:r>
    </w:p>
    <w:p w14:paraId="1834FB34" w14:textId="5DB0E407" w:rsidR="2F17CE84" w:rsidRDefault="2F17CE84" w:rsidP="07938E02">
      <w:pPr>
        <w:pStyle w:val="ListParagraph"/>
        <w:numPr>
          <w:ilvl w:val="0"/>
          <w:numId w:val="1"/>
        </w:numPr>
        <w:rPr>
          <w:sz w:val="21"/>
          <w:szCs w:val="21"/>
        </w:rPr>
      </w:pPr>
      <w:r w:rsidRPr="07938E02">
        <w:rPr>
          <w:sz w:val="21"/>
          <w:szCs w:val="21"/>
        </w:rPr>
        <w:t>You have provide</w:t>
      </w:r>
      <w:r w:rsidR="40EFB94B" w:rsidRPr="07938E02">
        <w:rPr>
          <w:sz w:val="21"/>
          <w:szCs w:val="21"/>
        </w:rPr>
        <w:t>d</w:t>
      </w:r>
      <w:r w:rsidR="293FFFB3" w:rsidRPr="07938E02">
        <w:rPr>
          <w:sz w:val="21"/>
          <w:szCs w:val="21"/>
        </w:rPr>
        <w:t xml:space="preserve"> up to 5</w:t>
      </w:r>
      <w:r w:rsidRPr="07938E02">
        <w:rPr>
          <w:sz w:val="21"/>
          <w:szCs w:val="21"/>
        </w:rPr>
        <w:t xml:space="preserve"> or more options that may suit their clinical needs and support their circumstances.</w:t>
      </w:r>
    </w:p>
    <w:p w14:paraId="5D874444" w14:textId="35FA6A2F" w:rsidR="2F17CE84" w:rsidRDefault="2F17CE84" w:rsidP="07938E02">
      <w:pPr>
        <w:rPr>
          <w:sz w:val="21"/>
          <w:szCs w:val="21"/>
        </w:rPr>
      </w:pPr>
      <w:r w:rsidRPr="07938E02">
        <w:rPr>
          <w:b/>
          <w:bCs/>
          <w:sz w:val="21"/>
          <w:szCs w:val="21"/>
        </w:rPr>
        <w:t xml:space="preserve">Note: </w:t>
      </w:r>
      <w:r w:rsidRPr="07938E02">
        <w:rPr>
          <w:sz w:val="21"/>
          <w:szCs w:val="21"/>
        </w:rPr>
        <w:t>The Single point of access will provide choice to patients if you do not specify, they have already chosen.</w:t>
      </w:r>
    </w:p>
    <w:p w14:paraId="390A2A46" w14:textId="77777777" w:rsidR="009C0DC0" w:rsidRPr="0092512F" w:rsidRDefault="009C0DC0" w:rsidP="009C0DC0">
      <w:pPr>
        <w:spacing w:after="0"/>
        <w:rPr>
          <w:b/>
          <w:bCs/>
          <w:sz w:val="21"/>
          <w:szCs w:val="21"/>
          <w:u w:val="single"/>
        </w:rPr>
      </w:pPr>
      <w:r w:rsidRPr="0092512F">
        <w:rPr>
          <w:b/>
          <w:bCs/>
          <w:sz w:val="21"/>
          <w:szCs w:val="21"/>
          <w:u w:val="single"/>
        </w:rPr>
        <w:t>Evidence Based Interventions (EBI) Criteria</w:t>
      </w:r>
    </w:p>
    <w:p w14:paraId="5604832A" w14:textId="77777777" w:rsidR="009C0DC0" w:rsidRPr="0092512F" w:rsidRDefault="009C0DC0" w:rsidP="009C0DC0">
      <w:pPr>
        <w:spacing w:after="0"/>
        <w:rPr>
          <w:sz w:val="21"/>
          <w:szCs w:val="21"/>
        </w:rPr>
      </w:pPr>
      <w:r w:rsidRPr="0092512F">
        <w:rPr>
          <w:sz w:val="21"/>
          <w:szCs w:val="21"/>
        </w:rPr>
        <w:t xml:space="preserve">There is a strict referral criterion in </w:t>
      </w:r>
      <w:proofErr w:type="gramStart"/>
      <w:r w:rsidRPr="0092512F">
        <w:rPr>
          <w:sz w:val="21"/>
          <w:szCs w:val="21"/>
        </w:rPr>
        <w:t>North East</w:t>
      </w:r>
      <w:proofErr w:type="gramEnd"/>
      <w:r w:rsidRPr="0092512F">
        <w:rPr>
          <w:sz w:val="21"/>
          <w:szCs w:val="21"/>
        </w:rPr>
        <w:t xml:space="preserve"> London under the Evidence Based Intervention Policy – see policy as follows:</w:t>
      </w:r>
    </w:p>
    <w:p w14:paraId="58A7D102" w14:textId="77777777" w:rsidR="009C0DC0" w:rsidRPr="0092512F" w:rsidRDefault="009C0DC0">
      <w:pPr>
        <w:rPr>
          <w:sz w:val="21"/>
          <w:szCs w:val="21"/>
        </w:rPr>
      </w:pPr>
    </w:p>
    <w:p w14:paraId="0F66529D" w14:textId="77777777" w:rsidR="009C0DC0" w:rsidRPr="0092512F" w:rsidRDefault="009C0DC0" w:rsidP="009C0DC0">
      <w:pPr>
        <w:spacing w:after="0"/>
        <w:rPr>
          <w:b/>
          <w:bCs/>
          <w:sz w:val="21"/>
          <w:szCs w:val="21"/>
        </w:rPr>
      </w:pPr>
      <w:r w:rsidRPr="0092512F">
        <w:rPr>
          <w:b/>
          <w:bCs/>
          <w:sz w:val="21"/>
          <w:szCs w:val="21"/>
        </w:rPr>
        <w:t>Cataract Surgery (Policy Extract)</w:t>
      </w:r>
    </w:p>
    <w:p w14:paraId="29CB4FFC" w14:textId="34748536" w:rsidR="009C0DC0" w:rsidRPr="0092512F" w:rsidRDefault="009C0DC0" w:rsidP="009C0DC0">
      <w:pPr>
        <w:spacing w:after="0"/>
        <w:rPr>
          <w:sz w:val="21"/>
          <w:szCs w:val="21"/>
        </w:rPr>
      </w:pPr>
      <w:r w:rsidRPr="0092512F">
        <w:rPr>
          <w:sz w:val="21"/>
          <w:szCs w:val="21"/>
        </w:rPr>
        <w:t xml:space="preserve">Patients should be referred when both of the following criteria are </w:t>
      </w:r>
      <w:proofErr w:type="gramStart"/>
      <w:r w:rsidRPr="0092512F">
        <w:rPr>
          <w:sz w:val="21"/>
          <w:szCs w:val="21"/>
        </w:rPr>
        <w:t>met:</w:t>
      </w:r>
      <w:proofErr w:type="gramEnd"/>
      <w:r w:rsidRPr="0092512F">
        <w:rPr>
          <w:sz w:val="21"/>
          <w:szCs w:val="21"/>
        </w:rPr>
        <w:t>1. Patient has a best corrected visual acuity of 6/9 or worse in either the first or second eye</w:t>
      </w:r>
    </w:p>
    <w:p w14:paraId="77C8430C" w14:textId="77777777" w:rsidR="009C0DC0" w:rsidRPr="0092512F" w:rsidRDefault="009C0DC0" w:rsidP="009C0DC0">
      <w:pPr>
        <w:spacing w:after="0"/>
        <w:rPr>
          <w:sz w:val="21"/>
          <w:szCs w:val="21"/>
        </w:rPr>
      </w:pPr>
      <w:r w:rsidRPr="0092512F">
        <w:rPr>
          <w:sz w:val="21"/>
          <w:szCs w:val="21"/>
        </w:rPr>
        <w:t>AND</w:t>
      </w:r>
    </w:p>
    <w:p w14:paraId="58C10EA8" w14:textId="77777777" w:rsidR="009C0DC0" w:rsidRPr="0092512F" w:rsidRDefault="009C0DC0" w:rsidP="009C0DC0">
      <w:pPr>
        <w:spacing w:after="0"/>
        <w:rPr>
          <w:sz w:val="21"/>
          <w:szCs w:val="21"/>
        </w:rPr>
      </w:pPr>
      <w:r w:rsidRPr="0092512F">
        <w:rPr>
          <w:sz w:val="21"/>
          <w:szCs w:val="21"/>
        </w:rPr>
        <w:t>2. Patient has impairment in lifestyle such as substantial effect on activities of daily living, leisure activities, and risk of falls</w:t>
      </w:r>
    </w:p>
    <w:p w14:paraId="015C2112" w14:textId="77777777" w:rsidR="009C0DC0" w:rsidRPr="0092512F" w:rsidRDefault="009C0DC0" w:rsidP="009C0DC0">
      <w:pPr>
        <w:spacing w:after="0"/>
        <w:rPr>
          <w:sz w:val="21"/>
          <w:szCs w:val="21"/>
        </w:rPr>
      </w:pPr>
      <w:r w:rsidRPr="0092512F">
        <w:rPr>
          <w:sz w:val="21"/>
          <w:szCs w:val="21"/>
        </w:rPr>
        <w:t xml:space="preserve">OR </w:t>
      </w:r>
    </w:p>
    <w:p w14:paraId="466D6171" w14:textId="77777777" w:rsidR="009C0DC0" w:rsidRPr="0092512F" w:rsidRDefault="009C0DC0" w:rsidP="009C0DC0">
      <w:pPr>
        <w:spacing w:after="0"/>
        <w:rPr>
          <w:sz w:val="21"/>
          <w:szCs w:val="21"/>
        </w:rPr>
      </w:pPr>
      <w:r w:rsidRPr="0092512F">
        <w:rPr>
          <w:sz w:val="21"/>
          <w:szCs w:val="21"/>
        </w:rPr>
        <w:t>When the patient has any of the following ocular comorbidities:</w:t>
      </w:r>
    </w:p>
    <w:p w14:paraId="6D4004D7" w14:textId="77777777" w:rsidR="009C0DC0" w:rsidRPr="0092512F" w:rsidRDefault="009C0DC0" w:rsidP="009C0DC0">
      <w:pPr>
        <w:spacing w:after="0"/>
        <w:rPr>
          <w:b/>
          <w:bCs/>
          <w:sz w:val="21"/>
          <w:szCs w:val="21"/>
          <w:u w:val="single"/>
        </w:rPr>
      </w:pPr>
      <w:r w:rsidRPr="0092512F">
        <w:rPr>
          <w:b/>
          <w:bCs/>
          <w:sz w:val="21"/>
          <w:szCs w:val="21"/>
          <w:u w:val="single"/>
        </w:rPr>
        <w:t>Glaucoma</w:t>
      </w:r>
    </w:p>
    <w:p w14:paraId="4C069AC6" w14:textId="77777777" w:rsidR="009C0DC0" w:rsidRPr="0092512F" w:rsidRDefault="009C0DC0" w:rsidP="009C0DC0">
      <w:pPr>
        <w:spacing w:after="0"/>
        <w:rPr>
          <w:sz w:val="21"/>
          <w:szCs w:val="21"/>
        </w:rPr>
      </w:pPr>
      <w:r w:rsidRPr="0092512F">
        <w:rPr>
          <w:sz w:val="21"/>
          <w:szCs w:val="21"/>
        </w:rPr>
        <w:t>Conditions where cataract may hinder disease management or monitoring, including diabetic and other retinopathies including retinal vein occlusion, and age-related macular degeneration; neuro-ophthalmological conditions (e.g. visual field changes); or getting an adequate view of fundus during diabetic retinopathy screening</w:t>
      </w:r>
    </w:p>
    <w:p w14:paraId="346C82B6" w14:textId="77777777" w:rsidR="009C0DC0" w:rsidRPr="0092512F" w:rsidRDefault="009C0DC0" w:rsidP="009C0DC0">
      <w:pPr>
        <w:pStyle w:val="ListParagraph"/>
        <w:numPr>
          <w:ilvl w:val="0"/>
          <w:numId w:val="3"/>
        </w:numPr>
        <w:spacing w:after="0"/>
        <w:rPr>
          <w:sz w:val="21"/>
          <w:szCs w:val="21"/>
        </w:rPr>
      </w:pPr>
      <w:proofErr w:type="spellStart"/>
      <w:r w:rsidRPr="0092512F">
        <w:rPr>
          <w:sz w:val="21"/>
          <w:szCs w:val="21"/>
        </w:rPr>
        <w:t>Occuloplastics</w:t>
      </w:r>
      <w:proofErr w:type="spellEnd"/>
      <w:r w:rsidRPr="0092512F">
        <w:rPr>
          <w:sz w:val="21"/>
          <w:szCs w:val="21"/>
        </w:rPr>
        <w:t xml:space="preserve"> disorders where fellow eye requires closure as part of eyelid reconstruction </w:t>
      </w:r>
    </w:p>
    <w:p w14:paraId="41DF3F5B" w14:textId="77777777" w:rsidR="009C0DC0" w:rsidRPr="0092512F" w:rsidRDefault="009C0DC0" w:rsidP="009C0DC0">
      <w:pPr>
        <w:pStyle w:val="ListParagraph"/>
        <w:numPr>
          <w:ilvl w:val="0"/>
          <w:numId w:val="3"/>
        </w:numPr>
        <w:spacing w:after="0"/>
        <w:rPr>
          <w:sz w:val="21"/>
          <w:szCs w:val="21"/>
        </w:rPr>
      </w:pPr>
      <w:r w:rsidRPr="0092512F">
        <w:rPr>
          <w:sz w:val="21"/>
          <w:szCs w:val="21"/>
        </w:rPr>
        <w:t xml:space="preserve">Corneal disease where early cataract removal would reduce the chance of losing corneal clarity (e.g. </w:t>
      </w:r>
      <w:proofErr w:type="spellStart"/>
      <w:r w:rsidRPr="0092512F">
        <w:rPr>
          <w:sz w:val="21"/>
          <w:szCs w:val="21"/>
        </w:rPr>
        <w:t>Fuch's</w:t>
      </w:r>
      <w:proofErr w:type="spellEnd"/>
      <w:r w:rsidRPr="0092512F">
        <w:rPr>
          <w:sz w:val="21"/>
          <w:szCs w:val="21"/>
        </w:rPr>
        <w:t xml:space="preserve"> corneal dystrophy or after keratoplasty)</w:t>
      </w:r>
    </w:p>
    <w:p w14:paraId="2C8E6B97" w14:textId="77777777" w:rsidR="009C0DC0" w:rsidRPr="0092512F" w:rsidRDefault="009C0DC0" w:rsidP="009C0DC0">
      <w:pPr>
        <w:pStyle w:val="ListParagraph"/>
        <w:numPr>
          <w:ilvl w:val="0"/>
          <w:numId w:val="3"/>
        </w:numPr>
        <w:spacing w:after="0"/>
        <w:rPr>
          <w:sz w:val="21"/>
          <w:szCs w:val="21"/>
        </w:rPr>
      </w:pPr>
      <w:r w:rsidRPr="0092512F">
        <w:rPr>
          <w:sz w:val="21"/>
          <w:szCs w:val="21"/>
        </w:rPr>
        <w:t>Corneal or conjunctival disease where delays might increase the risk of complications (e.g. cicatrising conjunctivitis)</w:t>
      </w:r>
    </w:p>
    <w:p w14:paraId="6EC2380D" w14:textId="77777777" w:rsidR="009C0DC0" w:rsidRPr="0092512F" w:rsidRDefault="009C0DC0" w:rsidP="009C0DC0">
      <w:pPr>
        <w:pStyle w:val="ListParagraph"/>
        <w:numPr>
          <w:ilvl w:val="0"/>
          <w:numId w:val="3"/>
        </w:numPr>
        <w:spacing w:after="0"/>
        <w:rPr>
          <w:sz w:val="21"/>
          <w:szCs w:val="21"/>
        </w:rPr>
      </w:pPr>
      <w:r w:rsidRPr="0092512F">
        <w:rPr>
          <w:sz w:val="21"/>
          <w:szCs w:val="21"/>
        </w:rPr>
        <w:t>Severe anisometropia in patients who wear glasses</w:t>
      </w:r>
    </w:p>
    <w:p w14:paraId="2BED2D68" w14:textId="77777777" w:rsidR="009C0DC0" w:rsidRPr="0092512F" w:rsidRDefault="009C0DC0" w:rsidP="009C0DC0">
      <w:pPr>
        <w:pStyle w:val="ListParagraph"/>
        <w:numPr>
          <w:ilvl w:val="0"/>
          <w:numId w:val="3"/>
        </w:numPr>
        <w:spacing w:after="0"/>
        <w:rPr>
          <w:sz w:val="21"/>
          <w:szCs w:val="21"/>
        </w:rPr>
      </w:pPr>
      <w:r w:rsidRPr="0092512F">
        <w:rPr>
          <w:sz w:val="21"/>
          <w:szCs w:val="21"/>
        </w:rPr>
        <w:t>Posterior subcapsular cataracts</w:t>
      </w:r>
    </w:p>
    <w:p w14:paraId="44F3AACD" w14:textId="77777777" w:rsidR="009C0DC0" w:rsidRPr="0092512F" w:rsidRDefault="009C0DC0" w:rsidP="009C0DC0">
      <w:pPr>
        <w:spacing w:after="0"/>
        <w:ind w:left="720"/>
        <w:rPr>
          <w:sz w:val="21"/>
          <w:szCs w:val="21"/>
        </w:rPr>
      </w:pPr>
    </w:p>
    <w:p w14:paraId="52EC40E8" w14:textId="77777777" w:rsidR="009C0DC0" w:rsidRPr="0092512F" w:rsidRDefault="009C0DC0" w:rsidP="009C0DC0">
      <w:pPr>
        <w:spacing w:after="0"/>
        <w:rPr>
          <w:sz w:val="21"/>
          <w:szCs w:val="21"/>
        </w:rPr>
      </w:pPr>
      <w:r w:rsidRPr="0092512F">
        <w:rPr>
          <w:sz w:val="21"/>
          <w:szCs w:val="21"/>
        </w:rPr>
        <w:t>However, in the above circumstances you should ideally refer to the provider that is managing their ocular comorbidity rather than an alternative provider due to the complexity of the care that may be required and the opportunity to reduce the number of patients appointments and interventions.</w:t>
      </w:r>
    </w:p>
    <w:p w14:paraId="4D60A352" w14:textId="77777777" w:rsidR="009C0DC0" w:rsidRPr="0092512F" w:rsidRDefault="009C0DC0">
      <w:pPr>
        <w:rPr>
          <w:sz w:val="21"/>
          <w:szCs w:val="21"/>
        </w:rPr>
      </w:pPr>
    </w:p>
    <w:p w14:paraId="37F06E0E" w14:textId="6EE662BD" w:rsidR="009C0DC0" w:rsidRPr="0092512F" w:rsidRDefault="009C0DC0">
      <w:pPr>
        <w:rPr>
          <w:sz w:val="21"/>
          <w:szCs w:val="21"/>
        </w:rPr>
      </w:pPr>
      <w:r w:rsidRPr="07938E02">
        <w:rPr>
          <w:b/>
          <w:bCs/>
          <w:sz w:val="21"/>
          <w:szCs w:val="21"/>
        </w:rPr>
        <w:t>Exclusion</w:t>
      </w:r>
      <w:r w:rsidRPr="07938E02">
        <w:rPr>
          <w:sz w:val="21"/>
          <w:szCs w:val="21"/>
        </w:rPr>
        <w:t xml:space="preserve"> - If the patient is already under the care of an ophthalmologist they are excluded from this scheme and must be referred via their GP</w:t>
      </w:r>
      <w:r w:rsidR="00A229C0">
        <w:rPr>
          <w:sz w:val="21"/>
          <w:szCs w:val="21"/>
        </w:rPr>
        <w:t>/Optometrist</w:t>
      </w:r>
      <w:r w:rsidRPr="07938E02">
        <w:rPr>
          <w:sz w:val="21"/>
          <w:szCs w:val="21"/>
        </w:rPr>
        <w:t xml:space="preserve"> for consideration of Cataract/PCO surgery to </w:t>
      </w:r>
      <w:r w:rsidRPr="07938E02">
        <w:rPr>
          <w:sz w:val="21"/>
          <w:szCs w:val="21"/>
        </w:rPr>
        <w:lastRenderedPageBreak/>
        <w:t>their current ophthalmology provider so cataract surgery can be considered alongside their other condition to minimise patient attendances and provide holistic care.</w:t>
      </w:r>
    </w:p>
    <w:p w14:paraId="24B6F0D3" w14:textId="77777777" w:rsidR="002E451C" w:rsidRPr="002E451C" w:rsidRDefault="002E451C" w:rsidP="002E451C">
      <w:pPr>
        <w:widowControl w:val="0"/>
        <w:autoSpaceDE w:val="0"/>
        <w:autoSpaceDN w:val="0"/>
        <w:spacing w:after="0" w:line="240" w:lineRule="auto"/>
        <w:jc w:val="both"/>
        <w:rPr>
          <w:b/>
          <w:bCs/>
          <w:sz w:val="20"/>
          <w:szCs w:val="20"/>
        </w:rPr>
      </w:pPr>
      <w:r w:rsidRPr="002E451C">
        <w:rPr>
          <w:b/>
          <w:bCs/>
          <w:sz w:val="20"/>
          <w:szCs w:val="20"/>
        </w:rPr>
        <w:t>Providers categories</w:t>
      </w:r>
    </w:p>
    <w:p w14:paraId="09E5024F" w14:textId="09FD7CC0" w:rsidR="00265610" w:rsidRDefault="00265610" w:rsidP="00265610">
      <w:pPr>
        <w:spacing w:after="0"/>
        <w:rPr>
          <w:sz w:val="21"/>
          <w:szCs w:val="21"/>
        </w:rPr>
      </w:pPr>
      <w:r>
        <w:rPr>
          <w:sz w:val="21"/>
          <w:szCs w:val="21"/>
        </w:rPr>
        <w:t xml:space="preserve">Please be aware that not all providers offer or are accredited for more complex patient cataract surgery – </w:t>
      </w:r>
      <w:r>
        <w:rPr>
          <w:sz w:val="21"/>
          <w:szCs w:val="21"/>
        </w:rPr>
        <w:t>referrers should ensure they refer</w:t>
      </w:r>
      <w:r>
        <w:rPr>
          <w:sz w:val="21"/>
          <w:szCs w:val="21"/>
        </w:rPr>
        <w:t xml:space="preserve"> as follows</w:t>
      </w:r>
      <w:r>
        <w:rPr>
          <w:sz w:val="21"/>
          <w:szCs w:val="21"/>
        </w:rPr>
        <w:t xml:space="preserve"> or seek guidance from </w:t>
      </w:r>
      <w:proofErr w:type="spellStart"/>
      <w:r>
        <w:rPr>
          <w:sz w:val="21"/>
          <w:szCs w:val="21"/>
        </w:rPr>
        <w:t>SPoA</w:t>
      </w:r>
      <w:proofErr w:type="spellEnd"/>
      <w:r>
        <w:rPr>
          <w:sz w:val="21"/>
          <w:szCs w:val="21"/>
        </w:rPr>
        <w:t>:</w:t>
      </w:r>
    </w:p>
    <w:p w14:paraId="2EA48D6B" w14:textId="77777777" w:rsidR="00265610" w:rsidRDefault="00265610" w:rsidP="00265610">
      <w:pPr>
        <w:widowControl w:val="0"/>
        <w:autoSpaceDE w:val="0"/>
        <w:autoSpaceDN w:val="0"/>
        <w:spacing w:after="0" w:line="240" w:lineRule="auto"/>
        <w:jc w:val="both"/>
        <w:rPr>
          <w:sz w:val="20"/>
          <w:szCs w:val="20"/>
        </w:rPr>
      </w:pPr>
    </w:p>
    <w:p w14:paraId="6CEA8235" w14:textId="77777777" w:rsidR="00265610" w:rsidRDefault="00265610" w:rsidP="00265610">
      <w:pPr>
        <w:widowControl w:val="0"/>
        <w:autoSpaceDE w:val="0"/>
        <w:autoSpaceDN w:val="0"/>
        <w:spacing w:after="0" w:line="240" w:lineRule="auto"/>
        <w:ind w:left="107"/>
        <w:jc w:val="both"/>
        <w:rPr>
          <w:sz w:val="20"/>
          <w:szCs w:val="20"/>
        </w:rPr>
      </w:pPr>
    </w:p>
    <w:p w14:paraId="7B9217AC" w14:textId="2CC79CC2" w:rsidR="00265610" w:rsidRDefault="00265610" w:rsidP="00265610">
      <w:pPr>
        <w:widowControl w:val="0"/>
        <w:autoSpaceDE w:val="0"/>
        <w:autoSpaceDN w:val="0"/>
        <w:spacing w:after="0" w:line="240" w:lineRule="auto"/>
        <w:ind w:left="107"/>
        <w:jc w:val="both"/>
        <w:rPr>
          <w:sz w:val="20"/>
          <w:szCs w:val="20"/>
        </w:rPr>
      </w:pPr>
      <w:r>
        <w:rPr>
          <w:sz w:val="20"/>
          <w:szCs w:val="20"/>
        </w:rPr>
        <w:t>Category 1</w:t>
      </w:r>
      <w:r>
        <w:rPr>
          <w:sz w:val="20"/>
          <w:szCs w:val="20"/>
        </w:rPr>
        <w:t xml:space="preserve"> (Usually full ophthalmology departments that cover all routine types of eye referrals)</w:t>
      </w:r>
      <w:r>
        <w:rPr>
          <w:sz w:val="20"/>
          <w:szCs w:val="20"/>
        </w:rPr>
        <w:t xml:space="preserve">: </w:t>
      </w:r>
    </w:p>
    <w:p w14:paraId="2EA31B65" w14:textId="2BB7E2AD" w:rsidR="00265610" w:rsidRPr="007629EF" w:rsidRDefault="00265610" w:rsidP="00265610">
      <w:pPr>
        <w:pStyle w:val="ListParagraph"/>
        <w:widowControl w:val="0"/>
        <w:numPr>
          <w:ilvl w:val="0"/>
          <w:numId w:val="4"/>
        </w:numPr>
        <w:autoSpaceDE w:val="0"/>
        <w:autoSpaceDN w:val="0"/>
        <w:spacing w:after="0" w:line="240" w:lineRule="auto"/>
        <w:jc w:val="both"/>
        <w:rPr>
          <w:rFonts w:ascii="Arial" w:hAnsi="Arial" w:cs="Arial"/>
          <w:sz w:val="20"/>
          <w:szCs w:val="20"/>
        </w:rPr>
      </w:pPr>
      <w:r w:rsidRPr="007629EF">
        <w:rPr>
          <w:rFonts w:ascii="Arial" w:hAnsi="Arial" w:cs="Arial"/>
          <w:sz w:val="20"/>
          <w:szCs w:val="20"/>
        </w:rPr>
        <w:t xml:space="preserve">All relevant </w:t>
      </w:r>
      <w:r w:rsidR="00C77386">
        <w:rPr>
          <w:rFonts w:ascii="Arial" w:hAnsi="Arial" w:cs="Arial"/>
          <w:sz w:val="20"/>
          <w:szCs w:val="20"/>
        </w:rPr>
        <w:t xml:space="preserve">Cataract related </w:t>
      </w:r>
      <w:r w:rsidRPr="007629EF">
        <w:rPr>
          <w:rFonts w:ascii="Arial" w:hAnsi="Arial" w:cs="Arial"/>
          <w:sz w:val="20"/>
          <w:szCs w:val="20"/>
        </w:rPr>
        <w:t>HRGs for the treatment of those patients.</w:t>
      </w:r>
    </w:p>
    <w:p w14:paraId="425EB98C" w14:textId="2E7A2684" w:rsidR="00265610" w:rsidRPr="001D182D" w:rsidRDefault="00265610" w:rsidP="00265610">
      <w:pPr>
        <w:pStyle w:val="ListParagraph"/>
        <w:widowControl w:val="0"/>
        <w:numPr>
          <w:ilvl w:val="0"/>
          <w:numId w:val="4"/>
        </w:numPr>
        <w:autoSpaceDE w:val="0"/>
        <w:autoSpaceDN w:val="0"/>
        <w:spacing w:after="0" w:line="240" w:lineRule="auto"/>
        <w:jc w:val="both"/>
        <w:rPr>
          <w:rFonts w:ascii="Arial" w:hAnsi="Arial" w:cs="Arial"/>
          <w:sz w:val="20"/>
          <w:szCs w:val="20"/>
        </w:rPr>
      </w:pPr>
      <w:r w:rsidRPr="007629EF">
        <w:rPr>
          <w:rFonts w:ascii="Arial" w:hAnsi="Arial" w:cs="Arial"/>
          <w:sz w:val="20"/>
          <w:szCs w:val="20"/>
        </w:rPr>
        <w:t xml:space="preserve">Emergency </w:t>
      </w:r>
      <w:r w:rsidRPr="001D182D">
        <w:rPr>
          <w:rFonts w:ascii="Arial" w:hAnsi="Arial" w:cs="Arial"/>
          <w:sz w:val="20"/>
          <w:szCs w:val="20"/>
        </w:rPr>
        <w:t>cover (providers must be able to manage their own post-surgical complications)</w:t>
      </w:r>
    </w:p>
    <w:p w14:paraId="4701111E" w14:textId="751DBFB9" w:rsidR="00265610" w:rsidRPr="001D182D" w:rsidRDefault="00265610" w:rsidP="00265610">
      <w:pPr>
        <w:pStyle w:val="ListParagraph"/>
        <w:widowControl w:val="0"/>
        <w:numPr>
          <w:ilvl w:val="0"/>
          <w:numId w:val="4"/>
        </w:numPr>
        <w:autoSpaceDE w:val="0"/>
        <w:autoSpaceDN w:val="0"/>
        <w:spacing w:after="0" w:line="240" w:lineRule="auto"/>
        <w:jc w:val="both"/>
        <w:rPr>
          <w:rFonts w:ascii="Arial" w:hAnsi="Arial" w:cs="Arial"/>
          <w:sz w:val="20"/>
          <w:szCs w:val="20"/>
        </w:rPr>
      </w:pPr>
      <w:r w:rsidRPr="001D182D">
        <w:rPr>
          <w:rFonts w:ascii="Arial" w:hAnsi="Arial" w:cs="Arial"/>
          <w:sz w:val="20"/>
          <w:szCs w:val="20"/>
        </w:rPr>
        <w:t>No patient exclusions (a</w:t>
      </w:r>
      <w:r>
        <w:rPr>
          <w:rFonts w:ascii="Arial" w:hAnsi="Arial" w:cs="Arial"/>
          <w:sz w:val="20"/>
          <w:szCs w:val="20"/>
        </w:rPr>
        <w:t>ll ages and complexities</w:t>
      </w:r>
      <w:r w:rsidRPr="001D182D">
        <w:rPr>
          <w:rFonts w:ascii="Arial" w:hAnsi="Arial" w:cs="Arial"/>
          <w:sz w:val="20"/>
          <w:szCs w:val="20"/>
        </w:rPr>
        <w:t>)</w:t>
      </w:r>
    </w:p>
    <w:p w14:paraId="0849C88B" w14:textId="77777777" w:rsidR="00265610" w:rsidRDefault="00265610" w:rsidP="00265610">
      <w:pPr>
        <w:spacing w:after="0"/>
        <w:rPr>
          <w:sz w:val="20"/>
          <w:szCs w:val="20"/>
        </w:rPr>
      </w:pPr>
    </w:p>
    <w:p w14:paraId="0EFA7CE6" w14:textId="1941A7E5" w:rsidR="00265610" w:rsidRDefault="00265610" w:rsidP="00265610">
      <w:pPr>
        <w:spacing w:after="0"/>
        <w:rPr>
          <w:sz w:val="20"/>
          <w:szCs w:val="20"/>
        </w:rPr>
      </w:pPr>
      <w:r>
        <w:rPr>
          <w:sz w:val="20"/>
          <w:szCs w:val="20"/>
        </w:rPr>
        <w:t>Category 2</w:t>
      </w:r>
      <w:r>
        <w:rPr>
          <w:sz w:val="20"/>
          <w:szCs w:val="20"/>
        </w:rPr>
        <w:t xml:space="preserve"> (often standalone cataract units rather than HES</w:t>
      </w:r>
      <w:r w:rsidR="002E451C">
        <w:rPr>
          <w:sz w:val="20"/>
          <w:szCs w:val="20"/>
        </w:rPr>
        <w:t>)</w:t>
      </w:r>
      <w:r>
        <w:rPr>
          <w:sz w:val="20"/>
          <w:szCs w:val="20"/>
        </w:rPr>
        <w:t xml:space="preserve">: </w:t>
      </w:r>
      <w:bookmarkStart w:id="0" w:name="_Hlk168492060"/>
    </w:p>
    <w:bookmarkEnd w:id="0"/>
    <w:p w14:paraId="31D2482C" w14:textId="77777777" w:rsidR="00265610" w:rsidRPr="007126FF" w:rsidRDefault="00265610" w:rsidP="00265610">
      <w:pPr>
        <w:pStyle w:val="ListParagraph"/>
        <w:numPr>
          <w:ilvl w:val="0"/>
          <w:numId w:val="5"/>
        </w:numPr>
        <w:spacing w:after="0"/>
        <w:rPr>
          <w:rFonts w:ascii="Arial" w:hAnsi="Arial" w:cs="Arial"/>
          <w:sz w:val="20"/>
          <w:szCs w:val="20"/>
        </w:rPr>
      </w:pPr>
      <w:r w:rsidRPr="007126FF">
        <w:rPr>
          <w:rFonts w:ascii="Arial" w:hAnsi="Arial" w:cs="Arial"/>
          <w:sz w:val="20"/>
          <w:szCs w:val="20"/>
        </w:rPr>
        <w:t xml:space="preserve">Providers should still manage standard </w:t>
      </w:r>
      <w:proofErr w:type="spellStart"/>
      <w:r w:rsidRPr="007126FF">
        <w:rPr>
          <w:rFonts w:ascii="Arial" w:hAnsi="Arial" w:cs="Arial"/>
          <w:sz w:val="20"/>
          <w:szCs w:val="20"/>
        </w:rPr>
        <w:t>post surgical</w:t>
      </w:r>
      <w:proofErr w:type="spellEnd"/>
      <w:r w:rsidRPr="007126FF">
        <w:rPr>
          <w:rFonts w:ascii="Arial" w:hAnsi="Arial" w:cs="Arial"/>
          <w:sz w:val="20"/>
          <w:szCs w:val="20"/>
        </w:rPr>
        <w:t xml:space="preserve"> complications with relevant aftercare and patient support without referral to NHS urgent care services.</w:t>
      </w:r>
    </w:p>
    <w:p w14:paraId="6B27885D" w14:textId="487FC81B" w:rsidR="00265610" w:rsidRDefault="00265610" w:rsidP="00265610">
      <w:pPr>
        <w:pStyle w:val="ListParagraph"/>
        <w:numPr>
          <w:ilvl w:val="0"/>
          <w:numId w:val="5"/>
        </w:numPr>
        <w:spacing w:after="0"/>
        <w:rPr>
          <w:rFonts w:ascii="Arial" w:hAnsi="Arial" w:cs="Arial"/>
          <w:sz w:val="20"/>
          <w:szCs w:val="20"/>
        </w:rPr>
      </w:pPr>
      <w:r w:rsidRPr="007629EF">
        <w:rPr>
          <w:rFonts w:ascii="Arial" w:hAnsi="Arial" w:cs="Arial"/>
          <w:sz w:val="20"/>
          <w:szCs w:val="20"/>
        </w:rPr>
        <w:t xml:space="preserve">Patient exclusions </w:t>
      </w:r>
    </w:p>
    <w:p w14:paraId="66A74375" w14:textId="77777777" w:rsidR="00265610" w:rsidRDefault="00265610" w:rsidP="00265610">
      <w:pPr>
        <w:pStyle w:val="ListParagraph"/>
        <w:numPr>
          <w:ilvl w:val="1"/>
          <w:numId w:val="5"/>
        </w:numPr>
        <w:spacing w:after="0"/>
        <w:rPr>
          <w:rFonts w:ascii="Arial" w:hAnsi="Arial" w:cs="Arial"/>
          <w:sz w:val="20"/>
          <w:szCs w:val="20"/>
        </w:rPr>
      </w:pPr>
      <w:r>
        <w:rPr>
          <w:rFonts w:ascii="Arial" w:hAnsi="Arial" w:cs="Arial"/>
          <w:sz w:val="20"/>
          <w:szCs w:val="20"/>
        </w:rPr>
        <w:t>Under 60 years of age</w:t>
      </w:r>
    </w:p>
    <w:p w14:paraId="39D3BA18" w14:textId="50541E6F" w:rsidR="00265610" w:rsidRDefault="00265610" w:rsidP="00265610">
      <w:pPr>
        <w:pStyle w:val="ListParagraph"/>
        <w:numPr>
          <w:ilvl w:val="1"/>
          <w:numId w:val="5"/>
        </w:numPr>
        <w:spacing w:after="0"/>
        <w:rPr>
          <w:rFonts w:ascii="Arial" w:hAnsi="Arial" w:cs="Arial"/>
          <w:sz w:val="20"/>
          <w:szCs w:val="20"/>
        </w:rPr>
      </w:pPr>
      <w:r>
        <w:rPr>
          <w:rFonts w:ascii="Arial" w:hAnsi="Arial" w:cs="Arial"/>
          <w:sz w:val="20"/>
          <w:szCs w:val="20"/>
        </w:rPr>
        <w:t xml:space="preserve">Under other provider ophthalmologist for </w:t>
      </w:r>
      <w:r>
        <w:rPr>
          <w:rFonts w:ascii="Arial" w:hAnsi="Arial" w:cs="Arial"/>
          <w:sz w:val="20"/>
          <w:szCs w:val="20"/>
        </w:rPr>
        <w:t>other eye</w:t>
      </w:r>
      <w:r>
        <w:rPr>
          <w:rFonts w:ascii="Arial" w:hAnsi="Arial" w:cs="Arial"/>
          <w:sz w:val="20"/>
          <w:szCs w:val="20"/>
        </w:rPr>
        <w:t xml:space="preserve"> condition in the last 12 months</w:t>
      </w:r>
    </w:p>
    <w:p w14:paraId="0A96F55A" w14:textId="77777777" w:rsidR="00265610" w:rsidRDefault="00265610" w:rsidP="00265610">
      <w:pPr>
        <w:pStyle w:val="ListParagraph"/>
        <w:numPr>
          <w:ilvl w:val="1"/>
          <w:numId w:val="5"/>
        </w:numPr>
        <w:spacing w:after="0"/>
        <w:rPr>
          <w:rFonts w:ascii="Arial" w:hAnsi="Arial" w:cs="Arial"/>
          <w:sz w:val="20"/>
          <w:szCs w:val="20"/>
        </w:rPr>
      </w:pPr>
      <w:r>
        <w:rPr>
          <w:rFonts w:ascii="Arial" w:hAnsi="Arial" w:cs="Arial"/>
          <w:sz w:val="20"/>
          <w:szCs w:val="20"/>
        </w:rPr>
        <w:t>Don’t have full capacity to consent</w:t>
      </w:r>
    </w:p>
    <w:p w14:paraId="5C4F2DDF" w14:textId="77777777" w:rsidR="00265610" w:rsidRDefault="00265610" w:rsidP="00265610">
      <w:pPr>
        <w:pStyle w:val="ListParagraph"/>
        <w:numPr>
          <w:ilvl w:val="1"/>
          <w:numId w:val="5"/>
        </w:numPr>
        <w:spacing w:after="0"/>
        <w:rPr>
          <w:rFonts w:ascii="Arial" w:hAnsi="Arial" w:cs="Arial"/>
          <w:sz w:val="20"/>
          <w:szCs w:val="20"/>
        </w:rPr>
      </w:pPr>
      <w:r>
        <w:rPr>
          <w:rFonts w:ascii="Arial" w:hAnsi="Arial" w:cs="Arial"/>
          <w:sz w:val="20"/>
          <w:szCs w:val="20"/>
        </w:rPr>
        <w:t>Other medical condition unsuitable for standalone cataract unit</w:t>
      </w:r>
    </w:p>
    <w:p w14:paraId="649FBC58" w14:textId="77777777" w:rsidR="00265610" w:rsidRDefault="00265610" w:rsidP="00265610">
      <w:pPr>
        <w:pStyle w:val="ListParagraph"/>
        <w:numPr>
          <w:ilvl w:val="1"/>
          <w:numId w:val="5"/>
        </w:numPr>
        <w:spacing w:after="0"/>
        <w:rPr>
          <w:rFonts w:ascii="Arial" w:hAnsi="Arial" w:cs="Arial"/>
          <w:sz w:val="20"/>
          <w:szCs w:val="20"/>
        </w:rPr>
      </w:pPr>
      <w:r>
        <w:rPr>
          <w:rFonts w:ascii="Arial" w:hAnsi="Arial" w:cs="Arial"/>
          <w:sz w:val="20"/>
          <w:szCs w:val="20"/>
        </w:rPr>
        <w:t>High complexity cataract score</w:t>
      </w:r>
    </w:p>
    <w:p w14:paraId="071534AE" w14:textId="77777777" w:rsidR="00A35042" w:rsidRPr="0092512F" w:rsidRDefault="00A35042">
      <w:pPr>
        <w:rPr>
          <w:sz w:val="21"/>
          <w:szCs w:val="21"/>
        </w:rPr>
      </w:pPr>
    </w:p>
    <w:sectPr w:rsidR="00A35042" w:rsidRPr="009251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1A31" w14:textId="77777777" w:rsidR="001A0F8B" w:rsidRDefault="001A0F8B" w:rsidP="001A0F8B">
      <w:pPr>
        <w:spacing w:after="0" w:line="240" w:lineRule="auto"/>
      </w:pPr>
      <w:r>
        <w:separator/>
      </w:r>
    </w:p>
  </w:endnote>
  <w:endnote w:type="continuationSeparator" w:id="0">
    <w:p w14:paraId="226DCCF5" w14:textId="77777777" w:rsidR="001A0F8B" w:rsidRDefault="001A0F8B" w:rsidP="001A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6CF4" w14:textId="77777777" w:rsidR="001A0F8B" w:rsidRDefault="001A0F8B" w:rsidP="001A0F8B">
      <w:pPr>
        <w:spacing w:after="0" w:line="240" w:lineRule="auto"/>
      </w:pPr>
      <w:r>
        <w:separator/>
      </w:r>
    </w:p>
  </w:footnote>
  <w:footnote w:type="continuationSeparator" w:id="0">
    <w:p w14:paraId="026144B5" w14:textId="77777777" w:rsidR="001A0F8B" w:rsidRDefault="001A0F8B" w:rsidP="001A0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2D61"/>
    <w:multiLevelType w:val="hybridMultilevel"/>
    <w:tmpl w:val="4266B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265C7"/>
    <w:multiLevelType w:val="hybridMultilevel"/>
    <w:tmpl w:val="0FB27D6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0FB0807"/>
    <w:multiLevelType w:val="hybridMultilevel"/>
    <w:tmpl w:val="AFCA65BE"/>
    <w:lvl w:ilvl="0" w:tplc="AE9C3C70">
      <w:start w:val="1"/>
      <w:numFmt w:val="decimal"/>
      <w:lvlText w:val="%1."/>
      <w:lvlJc w:val="left"/>
      <w:pPr>
        <w:ind w:left="720" w:hanging="360"/>
      </w:pPr>
    </w:lvl>
    <w:lvl w:ilvl="1" w:tplc="FAE029B4">
      <w:start w:val="1"/>
      <w:numFmt w:val="lowerLetter"/>
      <w:lvlText w:val="%2."/>
      <w:lvlJc w:val="left"/>
      <w:pPr>
        <w:ind w:left="1440" w:hanging="360"/>
      </w:pPr>
    </w:lvl>
    <w:lvl w:ilvl="2" w:tplc="3A40257C">
      <w:start w:val="1"/>
      <w:numFmt w:val="lowerRoman"/>
      <w:lvlText w:val="%3."/>
      <w:lvlJc w:val="right"/>
      <w:pPr>
        <w:ind w:left="2160" w:hanging="180"/>
      </w:pPr>
    </w:lvl>
    <w:lvl w:ilvl="3" w:tplc="6652F004">
      <w:start w:val="1"/>
      <w:numFmt w:val="decimal"/>
      <w:lvlText w:val="%4."/>
      <w:lvlJc w:val="left"/>
      <w:pPr>
        <w:ind w:left="2880" w:hanging="360"/>
      </w:pPr>
    </w:lvl>
    <w:lvl w:ilvl="4" w:tplc="714C0114">
      <w:start w:val="1"/>
      <w:numFmt w:val="lowerLetter"/>
      <w:lvlText w:val="%5."/>
      <w:lvlJc w:val="left"/>
      <w:pPr>
        <w:ind w:left="3600" w:hanging="360"/>
      </w:pPr>
    </w:lvl>
    <w:lvl w:ilvl="5" w:tplc="BDAABCAA">
      <w:start w:val="1"/>
      <w:numFmt w:val="lowerRoman"/>
      <w:lvlText w:val="%6."/>
      <w:lvlJc w:val="right"/>
      <w:pPr>
        <w:ind w:left="4320" w:hanging="180"/>
      </w:pPr>
    </w:lvl>
    <w:lvl w:ilvl="6" w:tplc="37703194">
      <w:start w:val="1"/>
      <w:numFmt w:val="decimal"/>
      <w:lvlText w:val="%7."/>
      <w:lvlJc w:val="left"/>
      <w:pPr>
        <w:ind w:left="5040" w:hanging="360"/>
      </w:pPr>
    </w:lvl>
    <w:lvl w:ilvl="7" w:tplc="50E6F22E">
      <w:start w:val="1"/>
      <w:numFmt w:val="lowerLetter"/>
      <w:lvlText w:val="%8."/>
      <w:lvlJc w:val="left"/>
      <w:pPr>
        <w:ind w:left="5760" w:hanging="360"/>
      </w:pPr>
    </w:lvl>
    <w:lvl w:ilvl="8" w:tplc="593CC04C">
      <w:start w:val="1"/>
      <w:numFmt w:val="lowerRoman"/>
      <w:lvlText w:val="%9."/>
      <w:lvlJc w:val="right"/>
      <w:pPr>
        <w:ind w:left="6480" w:hanging="180"/>
      </w:pPr>
    </w:lvl>
  </w:abstractNum>
  <w:abstractNum w:abstractNumId="3" w15:restartNumberingAfterBreak="0">
    <w:nsid w:val="6B1834F3"/>
    <w:multiLevelType w:val="hybridMultilevel"/>
    <w:tmpl w:val="34AAE6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336B3B"/>
    <w:multiLevelType w:val="hybridMultilevel"/>
    <w:tmpl w:val="1C2A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976413">
    <w:abstractNumId w:val="2"/>
  </w:num>
  <w:num w:numId="2" w16cid:durableId="1953127870">
    <w:abstractNumId w:val="1"/>
  </w:num>
  <w:num w:numId="3" w16cid:durableId="1533112920">
    <w:abstractNumId w:val="4"/>
  </w:num>
  <w:num w:numId="4" w16cid:durableId="1179857328">
    <w:abstractNumId w:val="0"/>
  </w:num>
  <w:num w:numId="5" w16cid:durableId="154240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11"/>
    <w:rsid w:val="000D57D9"/>
    <w:rsid w:val="001A0F8B"/>
    <w:rsid w:val="00265610"/>
    <w:rsid w:val="002E451C"/>
    <w:rsid w:val="00317E01"/>
    <w:rsid w:val="00327D21"/>
    <w:rsid w:val="003B1B81"/>
    <w:rsid w:val="004632F5"/>
    <w:rsid w:val="004E091B"/>
    <w:rsid w:val="005977A5"/>
    <w:rsid w:val="005C5BF7"/>
    <w:rsid w:val="0061400D"/>
    <w:rsid w:val="00667B62"/>
    <w:rsid w:val="0092512F"/>
    <w:rsid w:val="00943F0B"/>
    <w:rsid w:val="009C0DC0"/>
    <w:rsid w:val="00A1138D"/>
    <w:rsid w:val="00A229C0"/>
    <w:rsid w:val="00A35042"/>
    <w:rsid w:val="00AA4A4C"/>
    <w:rsid w:val="00BC31D9"/>
    <w:rsid w:val="00C77386"/>
    <w:rsid w:val="00D34966"/>
    <w:rsid w:val="00E36931"/>
    <w:rsid w:val="00F00411"/>
    <w:rsid w:val="00FF417E"/>
    <w:rsid w:val="0429B514"/>
    <w:rsid w:val="07938E02"/>
    <w:rsid w:val="08E5ADCF"/>
    <w:rsid w:val="095DE137"/>
    <w:rsid w:val="0B65CC09"/>
    <w:rsid w:val="0B9C37E9"/>
    <w:rsid w:val="0C1D633B"/>
    <w:rsid w:val="0C1D7037"/>
    <w:rsid w:val="0C7689AE"/>
    <w:rsid w:val="0DF6A9DA"/>
    <w:rsid w:val="0FA9CCBD"/>
    <w:rsid w:val="0FF0AA73"/>
    <w:rsid w:val="102B5485"/>
    <w:rsid w:val="110B69D1"/>
    <w:rsid w:val="137657BA"/>
    <w:rsid w:val="153EF504"/>
    <w:rsid w:val="165DBB2E"/>
    <w:rsid w:val="1B4075AE"/>
    <w:rsid w:val="1D42E100"/>
    <w:rsid w:val="20760603"/>
    <w:rsid w:val="2570E845"/>
    <w:rsid w:val="26378576"/>
    <w:rsid w:val="265EBA61"/>
    <w:rsid w:val="269F7035"/>
    <w:rsid w:val="270DD16B"/>
    <w:rsid w:val="286DF7C8"/>
    <w:rsid w:val="293FFFB3"/>
    <w:rsid w:val="2B4E92B0"/>
    <w:rsid w:val="2E8C4D10"/>
    <w:rsid w:val="2F17CE84"/>
    <w:rsid w:val="386F5C2B"/>
    <w:rsid w:val="39E25DA5"/>
    <w:rsid w:val="3AC7688D"/>
    <w:rsid w:val="3CC28593"/>
    <w:rsid w:val="40EFB94B"/>
    <w:rsid w:val="43C32F2C"/>
    <w:rsid w:val="4486EEBB"/>
    <w:rsid w:val="44E02D4B"/>
    <w:rsid w:val="45B631F6"/>
    <w:rsid w:val="460AAAA7"/>
    <w:rsid w:val="463FAF01"/>
    <w:rsid w:val="47CE3405"/>
    <w:rsid w:val="4CA93413"/>
    <w:rsid w:val="4E51CE74"/>
    <w:rsid w:val="4ED35C1C"/>
    <w:rsid w:val="4F09385E"/>
    <w:rsid w:val="4FA00B4E"/>
    <w:rsid w:val="52202641"/>
    <w:rsid w:val="54035253"/>
    <w:rsid w:val="543D4CA3"/>
    <w:rsid w:val="571610BB"/>
    <w:rsid w:val="587AB916"/>
    <w:rsid w:val="58880FC1"/>
    <w:rsid w:val="5A08DDE0"/>
    <w:rsid w:val="5A7217A9"/>
    <w:rsid w:val="5A86E413"/>
    <w:rsid w:val="5D0710D1"/>
    <w:rsid w:val="5D9C45D1"/>
    <w:rsid w:val="5F101E48"/>
    <w:rsid w:val="61055A65"/>
    <w:rsid w:val="62F98E88"/>
    <w:rsid w:val="633A4506"/>
    <w:rsid w:val="6470A02E"/>
    <w:rsid w:val="65AFCBBE"/>
    <w:rsid w:val="672B2EB7"/>
    <w:rsid w:val="67580C8C"/>
    <w:rsid w:val="69FD3FA3"/>
    <w:rsid w:val="6A5C33E3"/>
    <w:rsid w:val="6B0FAE78"/>
    <w:rsid w:val="6C4A78DC"/>
    <w:rsid w:val="722AEDB8"/>
    <w:rsid w:val="76D014A1"/>
    <w:rsid w:val="7976FA3D"/>
    <w:rsid w:val="7C69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7033"/>
  <w15:chartTrackingRefBased/>
  <w15:docId w15:val="{0D6ED5F9-FC11-49E8-8FB8-2EB267E8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4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4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4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4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411"/>
    <w:rPr>
      <w:rFonts w:eastAsiaTheme="majorEastAsia" w:cstheme="majorBidi"/>
      <w:color w:val="272727" w:themeColor="text1" w:themeTint="D8"/>
    </w:rPr>
  </w:style>
  <w:style w:type="paragraph" w:styleId="Title">
    <w:name w:val="Title"/>
    <w:basedOn w:val="Normal"/>
    <w:next w:val="Normal"/>
    <w:link w:val="TitleChar"/>
    <w:uiPriority w:val="10"/>
    <w:qFormat/>
    <w:rsid w:val="00F00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4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411"/>
    <w:pPr>
      <w:spacing w:before="160"/>
      <w:jc w:val="center"/>
    </w:pPr>
    <w:rPr>
      <w:i/>
      <w:iCs/>
      <w:color w:val="404040" w:themeColor="text1" w:themeTint="BF"/>
    </w:rPr>
  </w:style>
  <w:style w:type="character" w:customStyle="1" w:styleId="QuoteChar">
    <w:name w:val="Quote Char"/>
    <w:basedOn w:val="DefaultParagraphFont"/>
    <w:link w:val="Quote"/>
    <w:uiPriority w:val="29"/>
    <w:rsid w:val="00F00411"/>
    <w:rPr>
      <w:i/>
      <w:iCs/>
      <w:color w:val="404040" w:themeColor="text1" w:themeTint="BF"/>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F00411"/>
    <w:pPr>
      <w:ind w:left="720"/>
      <w:contextualSpacing/>
    </w:pPr>
  </w:style>
  <w:style w:type="character" w:styleId="IntenseEmphasis">
    <w:name w:val="Intense Emphasis"/>
    <w:basedOn w:val="DefaultParagraphFont"/>
    <w:uiPriority w:val="21"/>
    <w:qFormat/>
    <w:rsid w:val="00F00411"/>
    <w:rPr>
      <w:i/>
      <w:iCs/>
      <w:color w:val="0F4761" w:themeColor="accent1" w:themeShade="BF"/>
    </w:rPr>
  </w:style>
  <w:style w:type="paragraph" w:styleId="IntenseQuote">
    <w:name w:val="Intense Quote"/>
    <w:basedOn w:val="Normal"/>
    <w:next w:val="Normal"/>
    <w:link w:val="IntenseQuoteChar"/>
    <w:uiPriority w:val="30"/>
    <w:qFormat/>
    <w:rsid w:val="00F00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411"/>
    <w:rPr>
      <w:i/>
      <w:iCs/>
      <w:color w:val="0F4761" w:themeColor="accent1" w:themeShade="BF"/>
    </w:rPr>
  </w:style>
  <w:style w:type="character" w:styleId="IntenseReference">
    <w:name w:val="Intense Reference"/>
    <w:basedOn w:val="DefaultParagraphFont"/>
    <w:uiPriority w:val="32"/>
    <w:qFormat/>
    <w:rsid w:val="00F00411"/>
    <w:rPr>
      <w:b/>
      <w:bCs/>
      <w:smallCaps/>
      <w:color w:val="0F4761" w:themeColor="accent1" w:themeShade="BF"/>
      <w:spacing w:val="5"/>
    </w:rPr>
  </w:style>
  <w:style w:type="character" w:styleId="Hyperlink">
    <w:name w:val="Hyperlink"/>
    <w:basedOn w:val="DefaultParagraphFont"/>
    <w:uiPriority w:val="99"/>
    <w:unhideWhenUsed/>
    <w:rsid w:val="005977A5"/>
    <w:rPr>
      <w:color w:val="467886" w:themeColor="hyperlink"/>
      <w:u w:val="single"/>
    </w:rPr>
  </w:style>
  <w:style w:type="character" w:styleId="UnresolvedMention">
    <w:name w:val="Unresolved Mention"/>
    <w:basedOn w:val="DefaultParagraphFont"/>
    <w:uiPriority w:val="99"/>
    <w:semiHidden/>
    <w:unhideWhenUsed/>
    <w:rsid w:val="005977A5"/>
    <w:rPr>
      <w:color w:val="605E5C"/>
      <w:shd w:val="clear" w:color="auto" w:fill="E1DFDD"/>
    </w:rPr>
  </w:style>
  <w:style w:type="character" w:styleId="FollowedHyperlink">
    <w:name w:val="FollowedHyperlink"/>
    <w:basedOn w:val="DefaultParagraphFont"/>
    <w:uiPriority w:val="99"/>
    <w:semiHidden/>
    <w:unhideWhenUsed/>
    <w:rsid w:val="005977A5"/>
    <w:rPr>
      <w:color w:val="96607D"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9C0DC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1A0F8B"/>
    <w:pPr>
      <w:spacing w:after="0" w:line="240" w:lineRule="auto"/>
    </w:pPr>
    <w:rPr>
      <w:kern w:val="0"/>
      <w:sz w:val="20"/>
      <w:szCs w:val="20"/>
      <w14:ligatures w14:val="none"/>
    </w:rPr>
  </w:style>
  <w:style w:type="character" w:customStyle="1" w:styleId="FootnoteTextChar">
    <w:name w:val="Footnote Text Char"/>
    <w:basedOn w:val="DefaultParagraphFont"/>
    <w:link w:val="FootnoteText"/>
    <w:rsid w:val="001A0F8B"/>
    <w:rPr>
      <w:kern w:val="0"/>
      <w:sz w:val="20"/>
      <w:szCs w:val="20"/>
      <w14:ligatures w14:val="none"/>
    </w:rPr>
  </w:style>
  <w:style w:type="character" w:styleId="FootnoteReference">
    <w:name w:val="footnote reference"/>
    <w:basedOn w:val="DefaultParagraphFont"/>
    <w:semiHidden/>
    <w:unhideWhenUsed/>
    <w:rsid w:val="001A0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60105">
      <w:bodyDiv w:val="1"/>
      <w:marLeft w:val="0"/>
      <w:marRight w:val="0"/>
      <w:marTop w:val="0"/>
      <w:marBottom w:val="0"/>
      <w:divBdr>
        <w:top w:val="none" w:sz="0" w:space="0" w:color="auto"/>
        <w:left w:val="none" w:sz="0" w:space="0" w:color="auto"/>
        <w:bottom w:val="none" w:sz="0" w:space="0" w:color="auto"/>
        <w:right w:val="none" w:sz="0" w:space="0" w:color="auto"/>
      </w:divBdr>
    </w:div>
    <w:div w:id="463160555">
      <w:bodyDiv w:val="1"/>
      <w:marLeft w:val="0"/>
      <w:marRight w:val="0"/>
      <w:marTop w:val="0"/>
      <w:marBottom w:val="0"/>
      <w:divBdr>
        <w:top w:val="none" w:sz="0" w:space="0" w:color="auto"/>
        <w:left w:val="none" w:sz="0" w:space="0" w:color="auto"/>
        <w:bottom w:val="none" w:sz="0" w:space="0" w:color="auto"/>
        <w:right w:val="none" w:sz="0" w:space="0" w:color="auto"/>
      </w:divBdr>
    </w:div>
    <w:div w:id="577255596">
      <w:bodyDiv w:val="1"/>
      <w:marLeft w:val="0"/>
      <w:marRight w:val="0"/>
      <w:marTop w:val="0"/>
      <w:marBottom w:val="0"/>
      <w:divBdr>
        <w:top w:val="none" w:sz="0" w:space="0" w:color="auto"/>
        <w:left w:val="none" w:sz="0" w:space="0" w:color="auto"/>
        <w:bottom w:val="none" w:sz="0" w:space="0" w:color="auto"/>
        <w:right w:val="none" w:sz="0" w:space="0" w:color="auto"/>
      </w:divBdr>
    </w:div>
    <w:div w:id="627013728">
      <w:bodyDiv w:val="1"/>
      <w:marLeft w:val="0"/>
      <w:marRight w:val="0"/>
      <w:marTop w:val="0"/>
      <w:marBottom w:val="0"/>
      <w:divBdr>
        <w:top w:val="none" w:sz="0" w:space="0" w:color="auto"/>
        <w:left w:val="none" w:sz="0" w:space="0" w:color="auto"/>
        <w:bottom w:val="none" w:sz="0" w:space="0" w:color="auto"/>
        <w:right w:val="none" w:sz="0" w:space="0" w:color="auto"/>
      </w:divBdr>
    </w:div>
    <w:div w:id="728653739">
      <w:bodyDiv w:val="1"/>
      <w:marLeft w:val="0"/>
      <w:marRight w:val="0"/>
      <w:marTop w:val="0"/>
      <w:marBottom w:val="0"/>
      <w:divBdr>
        <w:top w:val="none" w:sz="0" w:space="0" w:color="auto"/>
        <w:left w:val="none" w:sz="0" w:space="0" w:color="auto"/>
        <w:bottom w:val="none" w:sz="0" w:space="0" w:color="auto"/>
        <w:right w:val="none" w:sz="0" w:space="0" w:color="auto"/>
      </w:divBdr>
    </w:div>
    <w:div w:id="794324862">
      <w:bodyDiv w:val="1"/>
      <w:marLeft w:val="0"/>
      <w:marRight w:val="0"/>
      <w:marTop w:val="0"/>
      <w:marBottom w:val="0"/>
      <w:divBdr>
        <w:top w:val="none" w:sz="0" w:space="0" w:color="auto"/>
        <w:left w:val="none" w:sz="0" w:space="0" w:color="auto"/>
        <w:bottom w:val="none" w:sz="0" w:space="0" w:color="auto"/>
        <w:right w:val="none" w:sz="0" w:space="0" w:color="auto"/>
      </w:divBdr>
    </w:div>
    <w:div w:id="989821548">
      <w:bodyDiv w:val="1"/>
      <w:marLeft w:val="0"/>
      <w:marRight w:val="0"/>
      <w:marTop w:val="0"/>
      <w:marBottom w:val="0"/>
      <w:divBdr>
        <w:top w:val="none" w:sz="0" w:space="0" w:color="auto"/>
        <w:left w:val="none" w:sz="0" w:space="0" w:color="auto"/>
        <w:bottom w:val="none" w:sz="0" w:space="0" w:color="auto"/>
        <w:right w:val="none" w:sz="0" w:space="0" w:color="auto"/>
      </w:divBdr>
    </w:div>
    <w:div w:id="1353259794">
      <w:bodyDiv w:val="1"/>
      <w:marLeft w:val="0"/>
      <w:marRight w:val="0"/>
      <w:marTop w:val="0"/>
      <w:marBottom w:val="0"/>
      <w:divBdr>
        <w:top w:val="none" w:sz="0" w:space="0" w:color="auto"/>
        <w:left w:val="none" w:sz="0" w:space="0" w:color="auto"/>
        <w:bottom w:val="none" w:sz="0" w:space="0" w:color="auto"/>
        <w:right w:val="none" w:sz="0" w:space="0" w:color="auto"/>
      </w:divBdr>
    </w:div>
    <w:div w:id="1530726977">
      <w:bodyDiv w:val="1"/>
      <w:marLeft w:val="0"/>
      <w:marRight w:val="0"/>
      <w:marTop w:val="0"/>
      <w:marBottom w:val="0"/>
      <w:divBdr>
        <w:top w:val="none" w:sz="0" w:space="0" w:color="auto"/>
        <w:left w:val="none" w:sz="0" w:space="0" w:color="auto"/>
        <w:bottom w:val="none" w:sz="0" w:space="0" w:color="auto"/>
        <w:right w:val="none" w:sz="0" w:space="0" w:color="auto"/>
      </w:divBdr>
    </w:div>
    <w:div w:id="1636981541">
      <w:bodyDiv w:val="1"/>
      <w:marLeft w:val="0"/>
      <w:marRight w:val="0"/>
      <w:marTop w:val="0"/>
      <w:marBottom w:val="0"/>
      <w:divBdr>
        <w:top w:val="none" w:sz="0" w:space="0" w:color="auto"/>
        <w:left w:val="none" w:sz="0" w:space="0" w:color="auto"/>
        <w:bottom w:val="none" w:sz="0" w:space="0" w:color="auto"/>
        <w:right w:val="none" w:sz="0" w:space="0" w:color="auto"/>
      </w:divBdr>
    </w:div>
    <w:div w:id="1644431837">
      <w:bodyDiv w:val="1"/>
      <w:marLeft w:val="0"/>
      <w:marRight w:val="0"/>
      <w:marTop w:val="0"/>
      <w:marBottom w:val="0"/>
      <w:divBdr>
        <w:top w:val="none" w:sz="0" w:space="0" w:color="auto"/>
        <w:left w:val="none" w:sz="0" w:space="0" w:color="auto"/>
        <w:bottom w:val="none" w:sz="0" w:space="0" w:color="auto"/>
        <w:right w:val="none" w:sz="0" w:space="0" w:color="auto"/>
      </w:divBdr>
    </w:div>
    <w:div w:id="1678994163">
      <w:bodyDiv w:val="1"/>
      <w:marLeft w:val="0"/>
      <w:marRight w:val="0"/>
      <w:marTop w:val="0"/>
      <w:marBottom w:val="0"/>
      <w:divBdr>
        <w:top w:val="none" w:sz="0" w:space="0" w:color="auto"/>
        <w:left w:val="none" w:sz="0" w:space="0" w:color="auto"/>
        <w:bottom w:val="none" w:sz="0" w:space="0" w:color="auto"/>
        <w:right w:val="none" w:sz="0" w:space="0" w:color="auto"/>
      </w:divBdr>
    </w:div>
    <w:div w:id="1918396526">
      <w:bodyDiv w:val="1"/>
      <w:marLeft w:val="0"/>
      <w:marRight w:val="0"/>
      <w:marTop w:val="0"/>
      <w:marBottom w:val="0"/>
      <w:divBdr>
        <w:top w:val="none" w:sz="0" w:space="0" w:color="auto"/>
        <w:left w:val="none" w:sz="0" w:space="0" w:color="auto"/>
        <w:bottom w:val="none" w:sz="0" w:space="0" w:color="auto"/>
        <w:right w:val="none" w:sz="0" w:space="0" w:color="auto"/>
      </w:divBdr>
    </w:div>
    <w:div w:id="1921331940">
      <w:bodyDiv w:val="1"/>
      <w:marLeft w:val="0"/>
      <w:marRight w:val="0"/>
      <w:marTop w:val="0"/>
      <w:marBottom w:val="0"/>
      <w:divBdr>
        <w:top w:val="none" w:sz="0" w:space="0" w:color="auto"/>
        <w:left w:val="none" w:sz="0" w:space="0" w:color="auto"/>
        <w:bottom w:val="none" w:sz="0" w:space="0" w:color="auto"/>
        <w:right w:val="none" w:sz="0" w:space="0" w:color="auto"/>
      </w:divBdr>
    </w:div>
    <w:div w:id="19330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londonicb.eyerefer@nhs.net" TargetMode="External"/><Relationship Id="rId5" Type="http://schemas.openxmlformats.org/officeDocument/2006/relationships/styles" Target="styles.xml"/><Relationship Id="rId10" Type="http://schemas.openxmlformats.org/officeDocument/2006/relationships/hyperlink" Target="https://gbr01.safelinks.protection.outlook.com/?url=https%3A%2F%2Fwww.evolutio-ophthalmology.co.uk%2Frefer-to-us%2F&amp;data=05%7C02%7Ctahera.khan4%40nhs.net%7C8b5ae97f5903498e58a708dc74c57bde%7C37c354b285b047f5b22207b48d774ee3%7C0%7C0%7C638513638728692685%7CUnknown%7CTWFpbGZsb3d8eyJWIjoiMC4wLjAwMDAiLCJQIjoiV2luMzIiLCJBTiI6Ik1haWwiLCJXVCI6Mn0%3D%7C0%7C%7C%7C&amp;sdata=0fc8WN8reltPWSnEvAMRezclHm1Xfn6J94E4s6l8dVE%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DC5ABB010A3409C1B0BC61D57ADCA" ma:contentTypeVersion="16" ma:contentTypeDescription="Create a new document." ma:contentTypeScope="" ma:versionID="78b43161cd380a523ffae6824372413f">
  <xsd:schema xmlns:xsd="http://www.w3.org/2001/XMLSchema" xmlns:xs="http://www.w3.org/2001/XMLSchema" xmlns:p="http://schemas.microsoft.com/office/2006/metadata/properties" xmlns:ns1="http://schemas.microsoft.com/sharepoint/v3" xmlns:ns2="3569846d-3f8b-41c8-820d-2ff9739a3570" xmlns:ns3="bc5f7bc9-01bf-408b-9c3e-f1a9958c1e1c" targetNamespace="http://schemas.microsoft.com/office/2006/metadata/properties" ma:root="true" ma:fieldsID="5b3932c8ff49483634541d7373360308" ns1:_="" ns2:_="" ns3:_="">
    <xsd:import namespace="http://schemas.microsoft.com/sharepoint/v3"/>
    <xsd:import namespace="3569846d-3f8b-41c8-820d-2ff9739a3570"/>
    <xsd:import namespace="bc5f7bc9-01bf-408b-9c3e-f1a9958c1e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Shortdesc"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9846d-3f8b-41c8-820d-2ff9739a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ortdesc" ma:index="14" nillable="true" ma:displayName="Short desc" ma:format="Dropdown" ma:internalName="Shortdesc">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5f7bc9-01bf-408b-9c3e-f1a9958c1e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6175c6e-45af-4005-b645-c17701188544}" ma:internalName="TaxCatchAll" ma:showField="CatchAllData" ma:web="bc5f7bc9-01bf-408b-9c3e-f1a9958c1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c5f7bc9-01bf-408b-9c3e-f1a9958c1e1c" xsi:nil="true"/>
    <Shortdesc xmlns="3569846d-3f8b-41c8-820d-2ff9739a3570" xsi:nil="true"/>
    <lcf76f155ced4ddcb4097134ff3c332f xmlns="3569846d-3f8b-41c8-820d-2ff9739a3570">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BA5C8F1-DB31-4E28-A8E0-4310E8A787CA}">
  <ds:schemaRefs>
    <ds:schemaRef ds:uri="http://schemas.microsoft.com/sharepoint/v3/contenttype/forms"/>
  </ds:schemaRefs>
</ds:datastoreItem>
</file>

<file path=customXml/itemProps2.xml><?xml version="1.0" encoding="utf-8"?>
<ds:datastoreItem xmlns:ds="http://schemas.openxmlformats.org/officeDocument/2006/customXml" ds:itemID="{52DD7454-D6AA-46F0-850E-35A50EAE3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69846d-3f8b-41c8-820d-2ff9739a3570"/>
    <ds:schemaRef ds:uri="bc5f7bc9-01bf-408b-9c3e-f1a9958c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919EC-18E3-4C3D-A699-A75F379FDF26}">
  <ds:schemaRefs>
    <ds:schemaRef ds:uri="bc5f7bc9-01bf-408b-9c3e-f1a9958c1e1c"/>
    <ds:schemaRef ds:uri="http://purl.org/dc/terms/"/>
    <ds:schemaRef ds:uri="http://www.w3.org/XML/1998/namespace"/>
    <ds:schemaRef ds:uri="3569846d-3f8b-41c8-820d-2ff9739a3570"/>
    <ds:schemaRef ds:uri="http://schemas.microsoft.com/sharepoint/v3"/>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Tahera (NHS NORTH EAST LONDON ICB - A3A8R)</dc:creator>
  <cp:keywords/>
  <dc:description/>
  <cp:lastModifiedBy>CALVELEY, River (NHS NORTH EAST LONDON ICB - A3A8R)</cp:lastModifiedBy>
  <cp:revision>6</cp:revision>
  <cp:lastPrinted>2024-12-06T13:32:00Z</cp:lastPrinted>
  <dcterms:created xsi:type="dcterms:W3CDTF">2025-08-04T10:46:00Z</dcterms:created>
  <dcterms:modified xsi:type="dcterms:W3CDTF">2025-08-04T11:54:00Z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0x010100FA3DC5ABB010A3409C1B0BC61D57ADCA</vt:lpwstr>
  </property>
  <property fmtid="{D5CDD505-2E9C-101B-9397-08002B2CF9AE}" pid="3" name="MediaServiceImageTags">
    <vt:lpwstr/>
  </property>
</Properties>
</file>